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0B" w:rsidRPr="00C52481" w:rsidRDefault="004D510B" w:rsidP="004D510B">
      <w:pPr>
        <w:spacing w:after="0" w:line="240" w:lineRule="auto"/>
        <w:ind w:firstLine="4500"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C52481">
        <w:rPr>
          <w:rFonts w:asciiTheme="minorHAnsi" w:hAnsiTheme="minorHAnsi"/>
          <w:sz w:val="24"/>
          <w:szCs w:val="24"/>
        </w:rPr>
        <w:t>CIRCULAIRE-PRESIDENTS 201</w:t>
      </w:r>
      <w:r w:rsidR="00EF37C1">
        <w:rPr>
          <w:rFonts w:asciiTheme="minorHAnsi" w:hAnsiTheme="minorHAnsi"/>
          <w:sz w:val="24"/>
          <w:szCs w:val="24"/>
        </w:rPr>
        <w:t>8</w:t>
      </w:r>
      <w:r w:rsidRPr="00C52481">
        <w:rPr>
          <w:rFonts w:asciiTheme="minorHAnsi" w:hAnsiTheme="minorHAnsi"/>
          <w:sz w:val="24"/>
          <w:szCs w:val="24"/>
        </w:rPr>
        <w:t>-</w:t>
      </w:r>
      <w:r w:rsidR="000D48C8">
        <w:rPr>
          <w:rFonts w:asciiTheme="minorHAnsi" w:hAnsiTheme="minorHAnsi"/>
          <w:sz w:val="24"/>
          <w:szCs w:val="24"/>
        </w:rPr>
        <w:t>28</w:t>
      </w:r>
    </w:p>
    <w:p w:rsidR="004D510B" w:rsidRPr="00C52481" w:rsidRDefault="004D510B" w:rsidP="004D510B">
      <w:pPr>
        <w:spacing w:after="0" w:line="240" w:lineRule="auto"/>
        <w:ind w:right="540" w:firstLine="4500"/>
        <w:jc w:val="right"/>
        <w:rPr>
          <w:rFonts w:asciiTheme="minorHAnsi" w:hAnsiTheme="minorHAnsi"/>
          <w:sz w:val="24"/>
          <w:szCs w:val="24"/>
        </w:rPr>
      </w:pPr>
      <w:r w:rsidRPr="00C52481">
        <w:rPr>
          <w:rFonts w:asciiTheme="minorHAnsi" w:hAnsiTheme="minorHAnsi"/>
          <w:sz w:val="24"/>
          <w:szCs w:val="24"/>
        </w:rPr>
        <w:t>--------------------------------------------</w:t>
      </w:r>
    </w:p>
    <w:p w:rsidR="004D510B" w:rsidRPr="00C52481" w:rsidRDefault="00136C0D" w:rsidP="004D510B">
      <w:pPr>
        <w:spacing w:after="0" w:line="240" w:lineRule="auto"/>
        <w:ind w:left="5760" w:right="108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</w:t>
      </w:r>
      <w:r w:rsidR="004D510B" w:rsidRPr="00C52481">
        <w:rPr>
          <w:rFonts w:asciiTheme="minorHAnsi" w:hAnsiTheme="minorHAnsi"/>
          <w:sz w:val="24"/>
          <w:szCs w:val="24"/>
        </w:rPr>
        <w:t xml:space="preserve"> </w:t>
      </w:r>
      <w:r w:rsidR="0099289F">
        <w:rPr>
          <w:rFonts w:asciiTheme="minorHAnsi" w:hAnsiTheme="minorHAnsi"/>
          <w:sz w:val="24"/>
          <w:szCs w:val="24"/>
        </w:rPr>
        <w:t>avril</w:t>
      </w:r>
      <w:r w:rsidR="004D510B" w:rsidRPr="00C52481">
        <w:rPr>
          <w:rFonts w:asciiTheme="minorHAnsi" w:hAnsiTheme="minorHAnsi"/>
          <w:sz w:val="24"/>
          <w:szCs w:val="24"/>
        </w:rPr>
        <w:t xml:space="preserve"> 201</w:t>
      </w:r>
      <w:r w:rsidR="00EF37C1">
        <w:rPr>
          <w:rFonts w:asciiTheme="minorHAnsi" w:hAnsiTheme="minorHAnsi"/>
          <w:sz w:val="24"/>
          <w:szCs w:val="24"/>
        </w:rPr>
        <w:t>8</w:t>
      </w:r>
    </w:p>
    <w:p w:rsidR="00112090" w:rsidRPr="00C52481" w:rsidRDefault="00112090" w:rsidP="004D510B">
      <w:pPr>
        <w:spacing w:after="0" w:line="240" w:lineRule="auto"/>
        <w:ind w:right="1080"/>
        <w:rPr>
          <w:rFonts w:asciiTheme="minorHAnsi" w:hAnsiTheme="minorHAnsi"/>
          <w:sz w:val="18"/>
          <w:szCs w:val="18"/>
        </w:rPr>
      </w:pPr>
    </w:p>
    <w:p w:rsidR="00112090" w:rsidRPr="00C52481" w:rsidRDefault="00112090" w:rsidP="004D510B">
      <w:pPr>
        <w:spacing w:after="0" w:line="240" w:lineRule="auto"/>
        <w:ind w:right="1080"/>
        <w:rPr>
          <w:rFonts w:asciiTheme="minorHAnsi" w:hAnsiTheme="minorHAnsi"/>
          <w:sz w:val="18"/>
          <w:szCs w:val="18"/>
        </w:rPr>
      </w:pPr>
    </w:p>
    <w:p w:rsidR="004D510B" w:rsidRPr="00C52481" w:rsidRDefault="00112090" w:rsidP="004D510B">
      <w:pPr>
        <w:spacing w:after="0" w:line="240" w:lineRule="auto"/>
        <w:ind w:right="1080"/>
        <w:rPr>
          <w:rFonts w:asciiTheme="minorHAnsi" w:hAnsiTheme="minorHAnsi"/>
          <w:sz w:val="18"/>
          <w:szCs w:val="18"/>
        </w:rPr>
      </w:pPr>
      <w:r w:rsidRPr="00C52481">
        <w:rPr>
          <w:rFonts w:asciiTheme="minorHAnsi" w:hAnsiTheme="minorHAnsi"/>
          <w:sz w:val="18"/>
          <w:szCs w:val="18"/>
        </w:rPr>
        <w:t>(PF</w:t>
      </w:r>
      <w:r w:rsidR="00C673B7">
        <w:rPr>
          <w:rFonts w:asciiTheme="minorHAnsi" w:hAnsiTheme="minorHAnsi"/>
          <w:sz w:val="18"/>
          <w:szCs w:val="18"/>
        </w:rPr>
        <w:t>/DM</w:t>
      </w:r>
      <w:r w:rsidRPr="00C52481">
        <w:rPr>
          <w:rFonts w:asciiTheme="minorHAnsi" w:hAnsiTheme="minorHAnsi"/>
          <w:sz w:val="18"/>
          <w:szCs w:val="18"/>
        </w:rPr>
        <w:t>) JC</w:t>
      </w:r>
    </w:p>
    <w:p w:rsidR="00927013" w:rsidRPr="00C52481" w:rsidRDefault="00927013" w:rsidP="004D510B">
      <w:pPr>
        <w:spacing w:after="0" w:line="240" w:lineRule="auto"/>
        <w:ind w:right="1080"/>
        <w:rPr>
          <w:rFonts w:asciiTheme="minorHAnsi" w:hAnsiTheme="minorHAnsi"/>
          <w:sz w:val="18"/>
          <w:szCs w:val="18"/>
        </w:rPr>
      </w:pPr>
    </w:p>
    <w:p w:rsidR="00927013" w:rsidRPr="00C86168" w:rsidRDefault="00EF37C1" w:rsidP="00927013">
      <w:pPr>
        <w:spacing w:after="0" w:line="240" w:lineRule="auto"/>
        <w:jc w:val="center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</w:rPr>
        <w:t>ROSP</w:t>
      </w:r>
      <w:r w:rsidR="00551124">
        <w:rPr>
          <w:rFonts w:asciiTheme="minorHAnsi" w:hAnsiTheme="minorHAnsi"/>
          <w:b/>
        </w:rPr>
        <w:t xml:space="preserve"> GENERIQUES</w:t>
      </w:r>
      <w:r w:rsidR="00304167">
        <w:rPr>
          <w:rFonts w:asciiTheme="minorHAnsi" w:hAnsiTheme="minorHAnsi"/>
          <w:b/>
        </w:rPr>
        <w:t xml:space="preserve"> 2018</w:t>
      </w:r>
    </w:p>
    <w:p w:rsidR="00927013" w:rsidRPr="00C52481" w:rsidRDefault="00927013" w:rsidP="00927013">
      <w:pPr>
        <w:spacing w:after="0" w:line="240" w:lineRule="auto"/>
        <w:ind w:right="1080"/>
        <w:rPr>
          <w:rFonts w:asciiTheme="minorHAnsi" w:hAnsiTheme="minorHAnsi"/>
        </w:rPr>
      </w:pPr>
    </w:p>
    <w:p w:rsidR="00927013" w:rsidRPr="00304167" w:rsidRDefault="00304167" w:rsidP="00927013">
      <w:pPr>
        <w:spacing w:after="0" w:line="240" w:lineRule="auto"/>
        <w:jc w:val="center"/>
        <w:rPr>
          <w:rFonts w:asciiTheme="minorHAnsi" w:hAnsiTheme="minorHAnsi"/>
          <w:b/>
          <w:i/>
          <w:sz w:val="40"/>
          <w:szCs w:val="40"/>
        </w:rPr>
      </w:pPr>
      <w:r w:rsidRPr="00304167">
        <w:rPr>
          <w:rFonts w:asciiTheme="minorHAnsi" w:hAnsiTheme="minorHAnsi"/>
          <w:b/>
          <w:i/>
          <w:sz w:val="40"/>
          <w:szCs w:val="40"/>
        </w:rPr>
        <w:t xml:space="preserve">Nos </w:t>
      </w:r>
      <w:r>
        <w:rPr>
          <w:rFonts w:asciiTheme="minorHAnsi" w:hAnsiTheme="minorHAnsi"/>
          <w:b/>
          <w:i/>
          <w:sz w:val="40"/>
          <w:szCs w:val="40"/>
        </w:rPr>
        <w:t>propositions</w:t>
      </w:r>
      <w:r w:rsidRPr="00304167">
        <w:rPr>
          <w:rFonts w:asciiTheme="minorHAnsi" w:hAnsiTheme="minorHAnsi"/>
          <w:b/>
          <w:i/>
          <w:sz w:val="40"/>
          <w:szCs w:val="40"/>
        </w:rPr>
        <w:t xml:space="preserve"> pour l’optimiser</w:t>
      </w:r>
      <w:r w:rsidR="00B34DE3" w:rsidRPr="00304167">
        <w:rPr>
          <w:rFonts w:asciiTheme="minorHAnsi" w:hAnsiTheme="minorHAnsi"/>
          <w:b/>
          <w:i/>
          <w:sz w:val="40"/>
          <w:szCs w:val="40"/>
        </w:rPr>
        <w:t xml:space="preserve"> </w:t>
      </w:r>
    </w:p>
    <w:p w:rsidR="00B03248" w:rsidRPr="00C52481" w:rsidRDefault="00B03248" w:rsidP="003B6C27">
      <w:pPr>
        <w:spacing w:after="0" w:line="240" w:lineRule="auto"/>
        <w:rPr>
          <w:rFonts w:asciiTheme="minorHAnsi" w:hAnsiTheme="minorHAnsi"/>
          <w:b/>
          <w:i/>
        </w:rPr>
      </w:pPr>
    </w:p>
    <w:p w:rsidR="00927013" w:rsidRPr="00C52481" w:rsidRDefault="00927013" w:rsidP="00927013">
      <w:pPr>
        <w:spacing w:after="0" w:line="240" w:lineRule="auto"/>
        <w:jc w:val="center"/>
        <w:rPr>
          <w:rFonts w:asciiTheme="minorHAnsi" w:hAnsiTheme="minorHAnsi"/>
          <w:b/>
          <w:i/>
        </w:rPr>
      </w:pPr>
    </w:p>
    <w:p w:rsidR="00330A4F" w:rsidRDefault="00927013" w:rsidP="00330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C52481">
        <w:rPr>
          <w:rFonts w:asciiTheme="minorHAnsi" w:hAnsiTheme="minorHAnsi"/>
          <w:i/>
          <w:sz w:val="20"/>
          <w:szCs w:val="20"/>
        </w:rPr>
        <w:fldChar w:fldCharType="begin"/>
      </w:r>
      <w:r w:rsidRPr="00C52481">
        <w:rPr>
          <w:rFonts w:asciiTheme="minorHAnsi" w:hAnsiTheme="minorHAnsi"/>
          <w:i/>
          <w:sz w:val="20"/>
          <w:szCs w:val="20"/>
        </w:rPr>
        <w:instrText xml:space="preserve"> AUTOTEXTLIST    \* MERGEFORMAT </w:instrText>
      </w:r>
      <w:r w:rsidRPr="00C52481">
        <w:rPr>
          <w:rFonts w:asciiTheme="minorHAnsi" w:hAnsiTheme="minorHAnsi"/>
          <w:i/>
          <w:sz w:val="20"/>
          <w:szCs w:val="20"/>
        </w:rPr>
        <w:fldChar w:fldCharType="separate"/>
      </w:r>
      <w:r w:rsidRPr="00C52481">
        <w:rPr>
          <w:rFonts w:asciiTheme="minorHAnsi" w:hAnsiTheme="minorHAnsi"/>
          <w:i/>
          <w:sz w:val="20"/>
          <w:szCs w:val="20"/>
        </w:rPr>
        <w:t>L'essentiel</w:t>
      </w:r>
      <w:r w:rsidRPr="00C52481">
        <w:rPr>
          <w:rFonts w:asciiTheme="minorHAnsi" w:hAnsiTheme="minorHAnsi"/>
          <w:i/>
          <w:sz w:val="20"/>
          <w:szCs w:val="20"/>
        </w:rPr>
        <w:fldChar w:fldCharType="end"/>
      </w:r>
      <w:r w:rsidRPr="00C52481">
        <w:rPr>
          <w:rFonts w:asciiTheme="minorHAnsi" w:hAnsiTheme="minorHAnsi"/>
          <w:i/>
          <w:sz w:val="20"/>
          <w:szCs w:val="20"/>
        </w:rPr>
        <w:t xml:space="preserve"> : </w:t>
      </w:r>
      <w:r w:rsidR="00817FA7">
        <w:rPr>
          <w:rFonts w:asciiTheme="minorHAnsi" w:hAnsiTheme="minorHAnsi"/>
          <w:i/>
          <w:sz w:val="20"/>
          <w:szCs w:val="20"/>
        </w:rPr>
        <w:t>le 28 février dernier, u</w:t>
      </w:r>
      <w:r w:rsidR="00817FA7" w:rsidRPr="00817FA7">
        <w:rPr>
          <w:rFonts w:asciiTheme="minorHAnsi" w:hAnsiTheme="minorHAnsi"/>
          <w:i/>
          <w:sz w:val="20"/>
          <w:szCs w:val="20"/>
        </w:rPr>
        <w:t>n seul syndicat représentatif des titulaires d’officines et</w:t>
      </w:r>
      <w:r w:rsidR="00817FA7">
        <w:rPr>
          <w:rFonts w:asciiTheme="minorHAnsi" w:hAnsiTheme="minorHAnsi"/>
          <w:i/>
          <w:sz w:val="20"/>
          <w:szCs w:val="20"/>
        </w:rPr>
        <w:t xml:space="preserve"> l’UNCAM ont signé </w:t>
      </w:r>
      <w:r w:rsidR="00817FA7" w:rsidRPr="00817FA7">
        <w:rPr>
          <w:rFonts w:asciiTheme="minorHAnsi" w:hAnsiTheme="minorHAnsi"/>
          <w:i/>
          <w:sz w:val="20"/>
          <w:szCs w:val="20"/>
        </w:rPr>
        <w:t>deux avenants relatifs à la dispensation des génériques</w:t>
      </w:r>
      <w:r w:rsidR="00817FA7">
        <w:rPr>
          <w:rFonts w:asciiTheme="minorHAnsi" w:hAnsiTheme="minorHAnsi"/>
          <w:i/>
          <w:sz w:val="20"/>
          <w:szCs w:val="20"/>
        </w:rPr>
        <w:t>.</w:t>
      </w:r>
    </w:p>
    <w:p w:rsidR="00817FA7" w:rsidRDefault="00817FA7" w:rsidP="00330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817FA7" w:rsidRDefault="00817FA7" w:rsidP="00330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La Fédération avait annoncé depuis la signature de l’avenant n°11 le 20 juillet dernier de ne pas participer aux négociations des avenants portant sur les génériques, sachant pertinemment que l’objectif de l’UNCAM était de réduire de 25 millions </w:t>
      </w:r>
      <w:r w:rsidR="00400B12" w:rsidRPr="00AB7F83">
        <w:rPr>
          <w:rFonts w:asciiTheme="minorHAnsi" w:hAnsiTheme="minorHAnsi"/>
          <w:i/>
          <w:sz w:val="20"/>
          <w:szCs w:val="20"/>
        </w:rPr>
        <w:t>d’euros</w:t>
      </w:r>
      <w:r w:rsidR="005C59A6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le montant versé au réseau.</w:t>
      </w:r>
    </w:p>
    <w:p w:rsidR="00817FA7" w:rsidRDefault="00817FA7" w:rsidP="00330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714608" w:rsidRDefault="00714608" w:rsidP="00330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Afin d’atteindre une telle</w:t>
      </w:r>
      <w:r w:rsidR="00817FA7">
        <w:rPr>
          <w:rFonts w:asciiTheme="minorHAnsi" w:hAnsiTheme="minorHAnsi"/>
          <w:i/>
          <w:sz w:val="20"/>
          <w:szCs w:val="20"/>
        </w:rPr>
        <w:t xml:space="preserve"> baisse</w:t>
      </w:r>
      <w:r w:rsidR="00400B12">
        <w:rPr>
          <w:rFonts w:asciiTheme="minorHAnsi" w:hAnsiTheme="minorHAnsi"/>
          <w:i/>
          <w:sz w:val="20"/>
          <w:szCs w:val="20"/>
        </w:rPr>
        <w:t>, les signataires</w:t>
      </w:r>
      <w:r>
        <w:rPr>
          <w:rFonts w:asciiTheme="minorHAnsi" w:hAnsiTheme="minorHAnsi"/>
          <w:i/>
          <w:sz w:val="20"/>
          <w:szCs w:val="20"/>
        </w:rPr>
        <w:t xml:space="preserve"> ont pris un ensemble de décision</w:t>
      </w:r>
      <w:r w:rsidR="00136C0D">
        <w:rPr>
          <w:rFonts w:asciiTheme="minorHAnsi" w:hAnsiTheme="minorHAnsi"/>
          <w:i/>
          <w:sz w:val="20"/>
          <w:szCs w:val="20"/>
        </w:rPr>
        <w:t>s</w:t>
      </w:r>
      <w:r>
        <w:rPr>
          <w:rFonts w:asciiTheme="minorHAnsi" w:hAnsiTheme="minorHAnsi"/>
          <w:i/>
          <w:sz w:val="20"/>
          <w:szCs w:val="20"/>
        </w:rPr>
        <w:t> :</w:t>
      </w:r>
    </w:p>
    <w:p w:rsidR="00714608" w:rsidRDefault="00714608" w:rsidP="00330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714608" w:rsidRDefault="00714608" w:rsidP="0071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- les</w:t>
      </w:r>
      <w:r w:rsidR="00817FA7">
        <w:rPr>
          <w:rFonts w:asciiTheme="minorHAnsi" w:hAnsiTheme="minorHAnsi"/>
          <w:i/>
          <w:sz w:val="20"/>
          <w:szCs w:val="20"/>
        </w:rPr>
        <w:t xml:space="preserve"> objectifs de substitution </w:t>
      </w:r>
      <w:r>
        <w:rPr>
          <w:rFonts w:asciiTheme="minorHAnsi" w:hAnsiTheme="minorHAnsi"/>
          <w:i/>
          <w:sz w:val="20"/>
          <w:szCs w:val="20"/>
        </w:rPr>
        <w:t>au plan national et individuel seront de</w:t>
      </w:r>
      <w:r w:rsidR="00817FA7">
        <w:rPr>
          <w:rFonts w:asciiTheme="minorHAnsi" w:hAnsiTheme="minorHAnsi"/>
          <w:i/>
          <w:sz w:val="20"/>
          <w:szCs w:val="20"/>
        </w:rPr>
        <w:t xml:space="preserve"> 90 %</w:t>
      </w:r>
      <w:r>
        <w:rPr>
          <w:rFonts w:asciiTheme="minorHAnsi" w:hAnsiTheme="minorHAnsi"/>
          <w:i/>
          <w:sz w:val="20"/>
          <w:szCs w:val="20"/>
        </w:rPr>
        <w:t xml:space="preserve"> en 2018 ;</w:t>
      </w:r>
    </w:p>
    <w:p w:rsidR="00714608" w:rsidRDefault="00714608" w:rsidP="0071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714608" w:rsidRDefault="00714608" w:rsidP="0071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- </w:t>
      </w:r>
      <w:r w:rsidRPr="00714608">
        <w:rPr>
          <w:rFonts w:asciiTheme="minorHAnsi" w:hAnsiTheme="minorHAnsi"/>
          <w:i/>
          <w:sz w:val="20"/>
          <w:szCs w:val="20"/>
        </w:rPr>
        <w:t xml:space="preserve">le coefficient de redistribution à destination </w:t>
      </w:r>
      <w:proofErr w:type="gramStart"/>
      <w:r w:rsidRPr="00714608">
        <w:rPr>
          <w:rFonts w:asciiTheme="minorHAnsi" w:hAnsiTheme="minorHAnsi"/>
          <w:i/>
          <w:sz w:val="20"/>
          <w:szCs w:val="20"/>
        </w:rPr>
        <w:t xml:space="preserve">des officinaux </w:t>
      </w:r>
      <w:r>
        <w:rPr>
          <w:rFonts w:asciiTheme="minorHAnsi" w:hAnsiTheme="minorHAnsi"/>
          <w:i/>
          <w:sz w:val="20"/>
          <w:szCs w:val="20"/>
        </w:rPr>
        <w:t>passe</w:t>
      </w:r>
      <w:proofErr w:type="gramEnd"/>
      <w:r>
        <w:rPr>
          <w:rFonts w:asciiTheme="minorHAnsi" w:hAnsiTheme="minorHAnsi"/>
          <w:i/>
          <w:sz w:val="20"/>
          <w:szCs w:val="20"/>
        </w:rPr>
        <w:t xml:space="preserve"> de</w:t>
      </w:r>
      <w:r w:rsidRPr="00714608">
        <w:rPr>
          <w:rFonts w:asciiTheme="minorHAnsi" w:hAnsiTheme="minorHAnsi"/>
          <w:i/>
          <w:sz w:val="20"/>
          <w:szCs w:val="20"/>
        </w:rPr>
        <w:t xml:space="preserve"> 0,60</w:t>
      </w:r>
      <w:r>
        <w:rPr>
          <w:rFonts w:asciiTheme="minorHAnsi" w:hAnsiTheme="minorHAnsi"/>
          <w:i/>
          <w:sz w:val="20"/>
          <w:szCs w:val="20"/>
        </w:rPr>
        <w:t xml:space="preserve"> en 2017 </w:t>
      </w:r>
      <w:r w:rsidRPr="00714608">
        <w:rPr>
          <w:rFonts w:asciiTheme="minorHAnsi" w:hAnsiTheme="minorHAnsi"/>
          <w:i/>
          <w:sz w:val="20"/>
          <w:szCs w:val="20"/>
        </w:rPr>
        <w:t>à 0,58</w:t>
      </w:r>
      <w:r>
        <w:rPr>
          <w:rFonts w:asciiTheme="minorHAnsi" w:hAnsiTheme="minorHAnsi"/>
          <w:i/>
          <w:sz w:val="20"/>
          <w:szCs w:val="20"/>
        </w:rPr>
        <w:t xml:space="preserve"> en 2018 ;</w:t>
      </w:r>
    </w:p>
    <w:p w:rsidR="00714608" w:rsidRDefault="00714608" w:rsidP="0071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714608" w:rsidRDefault="00714608" w:rsidP="0071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- </w:t>
      </w:r>
      <w:r w:rsidRPr="00714608">
        <w:rPr>
          <w:rFonts w:asciiTheme="minorHAnsi" w:hAnsiTheme="minorHAnsi"/>
          <w:i/>
          <w:sz w:val="20"/>
          <w:szCs w:val="20"/>
        </w:rPr>
        <w:t xml:space="preserve">pour la majorité des indicateurs, les seuils bas et intermédiaires </w:t>
      </w:r>
      <w:r w:rsidR="00C927A8">
        <w:rPr>
          <w:rFonts w:asciiTheme="minorHAnsi" w:hAnsiTheme="minorHAnsi"/>
          <w:i/>
          <w:sz w:val="20"/>
          <w:szCs w:val="20"/>
        </w:rPr>
        <w:t xml:space="preserve">augmentent </w:t>
      </w:r>
      <w:r w:rsidRPr="00714608">
        <w:rPr>
          <w:rFonts w:asciiTheme="minorHAnsi" w:hAnsiTheme="minorHAnsi"/>
          <w:i/>
          <w:sz w:val="20"/>
          <w:szCs w:val="20"/>
        </w:rPr>
        <w:t>par rapport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="00C927A8">
        <w:rPr>
          <w:rFonts w:asciiTheme="minorHAnsi" w:hAnsiTheme="minorHAnsi"/>
          <w:i/>
          <w:sz w:val="20"/>
          <w:szCs w:val="20"/>
        </w:rPr>
        <w:t>à 2017.</w:t>
      </w:r>
    </w:p>
    <w:p w:rsidR="00714608" w:rsidRDefault="00714608" w:rsidP="00C67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C673B7" w:rsidRPr="00304167" w:rsidRDefault="00C673B7" w:rsidP="00C67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304167">
        <w:rPr>
          <w:rFonts w:asciiTheme="minorHAnsi" w:hAnsiTheme="minorHAnsi"/>
          <w:b/>
          <w:i/>
          <w:sz w:val="24"/>
          <w:szCs w:val="24"/>
        </w:rPr>
        <w:t>Afin de limiter au maximum l’effet de cette baisse les pharmaciens doivent augmenter leurs efforts et notamment sur les 4 lignes : « </w:t>
      </w:r>
      <w:proofErr w:type="spellStart"/>
      <w:r w:rsidRPr="00304167">
        <w:rPr>
          <w:rFonts w:asciiTheme="minorHAnsi" w:hAnsiTheme="minorHAnsi"/>
          <w:b/>
          <w:i/>
          <w:sz w:val="24"/>
          <w:szCs w:val="24"/>
        </w:rPr>
        <w:t>Oxycodone</w:t>
      </w:r>
      <w:proofErr w:type="spellEnd"/>
      <w:r w:rsidRPr="00304167">
        <w:rPr>
          <w:rFonts w:asciiTheme="minorHAnsi" w:hAnsiTheme="minorHAnsi"/>
          <w:b/>
          <w:i/>
          <w:sz w:val="24"/>
          <w:szCs w:val="24"/>
        </w:rPr>
        <w:t> », « </w:t>
      </w:r>
      <w:proofErr w:type="spellStart"/>
      <w:r w:rsidRPr="00304167">
        <w:rPr>
          <w:rFonts w:asciiTheme="minorHAnsi" w:hAnsiTheme="minorHAnsi"/>
          <w:b/>
          <w:i/>
          <w:sz w:val="24"/>
          <w:szCs w:val="24"/>
        </w:rPr>
        <w:t>Ezétimibe</w:t>
      </w:r>
      <w:proofErr w:type="spellEnd"/>
      <w:r w:rsidRPr="00304167">
        <w:rPr>
          <w:rFonts w:asciiTheme="minorHAnsi" w:hAnsiTheme="minorHAnsi"/>
          <w:b/>
          <w:i/>
          <w:sz w:val="24"/>
          <w:szCs w:val="24"/>
        </w:rPr>
        <w:t> », « </w:t>
      </w:r>
      <w:proofErr w:type="spellStart"/>
      <w:r w:rsidRPr="00304167">
        <w:rPr>
          <w:rFonts w:asciiTheme="minorHAnsi" w:hAnsiTheme="minorHAnsi"/>
          <w:b/>
          <w:i/>
          <w:sz w:val="24"/>
          <w:szCs w:val="24"/>
        </w:rPr>
        <w:t>Ezétimibe</w:t>
      </w:r>
      <w:proofErr w:type="spellEnd"/>
      <w:r w:rsidRPr="00304167">
        <w:rPr>
          <w:rFonts w:asciiTheme="minorHAnsi" w:hAnsiTheme="minorHAnsi"/>
          <w:b/>
          <w:i/>
          <w:sz w:val="24"/>
          <w:szCs w:val="24"/>
        </w:rPr>
        <w:t xml:space="preserve"> + </w:t>
      </w:r>
      <w:proofErr w:type="spellStart"/>
      <w:r w:rsidRPr="00304167">
        <w:rPr>
          <w:rFonts w:asciiTheme="minorHAnsi" w:hAnsiTheme="minorHAnsi"/>
          <w:b/>
          <w:i/>
          <w:sz w:val="24"/>
          <w:szCs w:val="24"/>
        </w:rPr>
        <w:t>Simvastatine</w:t>
      </w:r>
      <w:proofErr w:type="spellEnd"/>
      <w:r w:rsidRPr="00304167">
        <w:rPr>
          <w:rFonts w:asciiTheme="minorHAnsi" w:hAnsiTheme="minorHAnsi"/>
          <w:b/>
          <w:i/>
          <w:sz w:val="24"/>
          <w:szCs w:val="24"/>
        </w:rPr>
        <w:t xml:space="preserve"> » et « reste du répertoire ».  </w:t>
      </w:r>
    </w:p>
    <w:p w:rsidR="00C673B7" w:rsidRPr="00C673B7" w:rsidRDefault="00C673B7" w:rsidP="00C67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C673B7" w:rsidRPr="00C673B7" w:rsidRDefault="00C673B7" w:rsidP="00C67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C673B7">
        <w:rPr>
          <w:rFonts w:asciiTheme="minorHAnsi" w:hAnsiTheme="minorHAnsi"/>
          <w:i/>
          <w:sz w:val="20"/>
          <w:szCs w:val="20"/>
        </w:rPr>
        <w:t>Un pharmacien peut faire l’objet de la mise en œuvre à son encontre d’une procédure de sanctions conventionnelles, dès lors que son taux de substitution est inférieur à 75 %.</w:t>
      </w:r>
    </w:p>
    <w:p w:rsidR="00817FA7" w:rsidRPr="00C52481" w:rsidRDefault="00817FA7" w:rsidP="00330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112090" w:rsidRPr="00C52481" w:rsidRDefault="00927013" w:rsidP="0092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C52481">
        <w:rPr>
          <w:rFonts w:asciiTheme="minorHAnsi" w:hAnsiTheme="minorHAnsi"/>
          <w:bCs/>
          <w:i/>
          <w:iCs/>
          <w:sz w:val="20"/>
          <w:szCs w:val="20"/>
        </w:rPr>
        <w:fldChar w:fldCharType="begin"/>
      </w:r>
      <w:r w:rsidRPr="00C52481">
        <w:rPr>
          <w:rFonts w:asciiTheme="minorHAnsi" w:hAnsiTheme="minorHAnsi"/>
          <w:bCs/>
          <w:i/>
          <w:iCs/>
          <w:sz w:val="20"/>
          <w:szCs w:val="20"/>
        </w:rPr>
        <w:instrText xml:space="preserve"> AUTOTEXTLIST   \* FirstCap  \* MERGEFORMAT </w:instrText>
      </w:r>
      <w:r w:rsidRPr="00C52481">
        <w:rPr>
          <w:rFonts w:asciiTheme="minorHAnsi" w:hAnsiTheme="minorHAnsi"/>
          <w:bCs/>
          <w:i/>
          <w:iCs/>
          <w:sz w:val="20"/>
          <w:szCs w:val="20"/>
        </w:rPr>
        <w:fldChar w:fldCharType="separate"/>
      </w:r>
      <w:r w:rsidRPr="00C52481">
        <w:rPr>
          <w:rFonts w:asciiTheme="minorHAnsi" w:hAnsiTheme="minorHAnsi"/>
          <w:bCs/>
          <w:i/>
          <w:iCs/>
          <w:sz w:val="20"/>
          <w:szCs w:val="20"/>
        </w:rPr>
        <w:t>Rubriques</w:t>
      </w:r>
      <w:r w:rsidRPr="00C52481">
        <w:rPr>
          <w:rFonts w:asciiTheme="minorHAnsi" w:hAnsiTheme="minorHAnsi"/>
          <w:bCs/>
          <w:i/>
          <w:iCs/>
          <w:sz w:val="20"/>
          <w:szCs w:val="20"/>
        </w:rPr>
        <w:fldChar w:fldCharType="end"/>
      </w:r>
      <w:r w:rsidRPr="00C52481">
        <w:rPr>
          <w:rFonts w:asciiTheme="minorHAnsi" w:hAnsiTheme="minorHAnsi"/>
          <w:bCs/>
          <w:i/>
          <w:iCs/>
          <w:sz w:val="20"/>
          <w:szCs w:val="20"/>
        </w:rPr>
        <w:t xml:space="preserve"> : </w:t>
      </w:r>
      <w:r w:rsidR="0092143F" w:rsidRPr="00C52481">
        <w:rPr>
          <w:rFonts w:asciiTheme="minorHAnsi" w:hAnsiTheme="minorHAnsi"/>
          <w:bCs/>
          <w:i/>
          <w:iCs/>
          <w:sz w:val="20"/>
          <w:szCs w:val="20"/>
        </w:rPr>
        <w:t>métier pharmacien / convention assurance maladie / économie / politique générale</w:t>
      </w:r>
    </w:p>
    <w:p w:rsidR="005C3110" w:rsidRDefault="00EF37C1" w:rsidP="00471C42">
      <w:pPr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Dans le prolongement de l’avenant n° 11 à la convention nationale pharmaceutique </w:t>
      </w:r>
      <w:r w:rsidR="00F25783">
        <w:rPr>
          <w:rFonts w:asciiTheme="minorHAnsi" w:hAnsiTheme="minorHAnsi"/>
          <w:bCs/>
        </w:rPr>
        <w:t>signé</w:t>
      </w:r>
      <w:r w:rsidR="00CB575E">
        <w:rPr>
          <w:rFonts w:asciiTheme="minorHAnsi" w:hAnsiTheme="minorHAnsi"/>
          <w:bCs/>
        </w:rPr>
        <w:t xml:space="preserve"> le</w:t>
      </w:r>
      <w:r w:rsidR="00F25783">
        <w:rPr>
          <w:rFonts w:asciiTheme="minorHAnsi" w:hAnsiTheme="minorHAnsi"/>
          <w:bCs/>
        </w:rPr>
        <w:t xml:space="preserve"> 20</w:t>
      </w:r>
      <w:r w:rsidR="00CB575E">
        <w:rPr>
          <w:rFonts w:asciiTheme="minorHAnsi" w:hAnsiTheme="minorHAnsi"/>
          <w:bCs/>
        </w:rPr>
        <w:t xml:space="preserve"> </w:t>
      </w:r>
      <w:r w:rsidR="005C3110">
        <w:rPr>
          <w:rFonts w:asciiTheme="minorHAnsi" w:hAnsiTheme="minorHAnsi"/>
          <w:bCs/>
        </w:rPr>
        <w:t>juillet dernier par un seul syndicat représentatif</w:t>
      </w:r>
      <w:r w:rsidR="00400B12">
        <w:rPr>
          <w:rFonts w:asciiTheme="minorHAnsi" w:hAnsiTheme="minorHAnsi"/>
          <w:bCs/>
        </w:rPr>
        <w:t>, minoritaire</w:t>
      </w:r>
      <w:r w:rsidR="005C3110">
        <w:rPr>
          <w:rFonts w:asciiTheme="minorHAnsi" w:hAnsiTheme="minorHAnsi"/>
          <w:bCs/>
        </w:rPr>
        <w:t xml:space="preserve"> des titulaires d’officines</w:t>
      </w:r>
      <w:r w:rsidR="00136C0D">
        <w:rPr>
          <w:rFonts w:asciiTheme="minorHAnsi" w:hAnsiTheme="minorHAnsi"/>
          <w:bCs/>
        </w:rPr>
        <w:t>,</w:t>
      </w:r>
      <w:r w:rsidR="00400B12">
        <w:rPr>
          <w:rFonts w:asciiTheme="minorHAnsi" w:hAnsiTheme="minorHAnsi"/>
          <w:bCs/>
        </w:rPr>
        <w:t xml:space="preserve"> et</w:t>
      </w:r>
      <w:r w:rsidR="005C3110">
        <w:rPr>
          <w:rFonts w:asciiTheme="minorHAnsi" w:hAnsiTheme="minorHAnsi"/>
          <w:bCs/>
        </w:rPr>
        <w:t xml:space="preserve"> l’Union National</w:t>
      </w:r>
      <w:r w:rsidR="00697CD3">
        <w:rPr>
          <w:rFonts w:asciiTheme="minorHAnsi" w:hAnsiTheme="minorHAnsi"/>
          <w:bCs/>
        </w:rPr>
        <w:t>e</w:t>
      </w:r>
      <w:r w:rsidR="005C3110">
        <w:rPr>
          <w:rFonts w:asciiTheme="minorHAnsi" w:hAnsiTheme="minorHAnsi"/>
          <w:bCs/>
        </w:rPr>
        <w:t xml:space="preserve"> des Caisses d’Assurance Maladie</w:t>
      </w:r>
      <w:r w:rsidR="005351E2">
        <w:rPr>
          <w:rFonts w:asciiTheme="minorHAnsi" w:hAnsiTheme="minorHAnsi"/>
          <w:bCs/>
        </w:rPr>
        <w:t xml:space="preserve"> (UNCAM)</w:t>
      </w:r>
      <w:r w:rsidR="00136C0D">
        <w:rPr>
          <w:rFonts w:asciiTheme="minorHAnsi" w:hAnsiTheme="minorHAnsi"/>
          <w:bCs/>
        </w:rPr>
        <w:t>,</w:t>
      </w:r>
      <w:r w:rsidR="005C3110">
        <w:rPr>
          <w:rFonts w:asciiTheme="minorHAnsi" w:hAnsiTheme="minorHAnsi"/>
          <w:bCs/>
        </w:rPr>
        <w:t xml:space="preserve"> deux avenants relatifs à la dispensation des génériques </w:t>
      </w:r>
      <w:r w:rsidR="0070547F">
        <w:rPr>
          <w:rFonts w:asciiTheme="minorHAnsi" w:hAnsiTheme="minorHAnsi"/>
          <w:bCs/>
        </w:rPr>
        <w:t>viennent d’être signés</w:t>
      </w:r>
      <w:r w:rsidR="00471C42">
        <w:rPr>
          <w:rFonts w:asciiTheme="minorHAnsi" w:hAnsiTheme="minorHAnsi"/>
          <w:bCs/>
        </w:rPr>
        <w:t>.</w:t>
      </w:r>
    </w:p>
    <w:p w:rsidR="005C3110" w:rsidRDefault="005C3110" w:rsidP="00471C42">
      <w:pPr>
        <w:spacing w:after="0" w:line="240" w:lineRule="auto"/>
        <w:jc w:val="both"/>
        <w:rPr>
          <w:rFonts w:asciiTheme="minorHAnsi" w:hAnsiTheme="minorHAnsi"/>
          <w:bCs/>
        </w:rPr>
      </w:pPr>
    </w:p>
    <w:p w:rsidR="00B6615B" w:rsidRDefault="005C3110" w:rsidP="00471C42">
      <w:pPr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La Féd</w:t>
      </w:r>
      <w:r w:rsidR="0078054E">
        <w:rPr>
          <w:rFonts w:asciiTheme="minorHAnsi" w:hAnsiTheme="minorHAnsi"/>
          <w:bCs/>
        </w:rPr>
        <w:t>ération a</w:t>
      </w:r>
      <w:r w:rsidR="00B6615B">
        <w:rPr>
          <w:rFonts w:asciiTheme="minorHAnsi" w:hAnsiTheme="minorHAnsi"/>
          <w:bCs/>
        </w:rPr>
        <w:t>vait annoncé de longue date son refus de participer à ces négociations</w:t>
      </w:r>
      <w:r w:rsidR="0078054E">
        <w:rPr>
          <w:rFonts w:asciiTheme="minorHAnsi" w:hAnsiTheme="minorHAnsi"/>
          <w:bCs/>
        </w:rPr>
        <w:t xml:space="preserve">. En effet, l’UNCAM ayant clairement </w:t>
      </w:r>
      <w:r w:rsidR="00136C0D">
        <w:rPr>
          <w:rFonts w:asciiTheme="minorHAnsi" w:hAnsiTheme="minorHAnsi"/>
          <w:bCs/>
        </w:rPr>
        <w:t xml:space="preserve">fait part de </w:t>
      </w:r>
      <w:r w:rsidR="0078054E">
        <w:rPr>
          <w:rFonts w:asciiTheme="minorHAnsi" w:hAnsiTheme="minorHAnsi"/>
          <w:bCs/>
        </w:rPr>
        <w:t>son intention de</w:t>
      </w:r>
      <w:r w:rsidR="00136C0D">
        <w:rPr>
          <w:rFonts w:asciiTheme="minorHAnsi" w:hAnsiTheme="minorHAnsi"/>
          <w:bCs/>
        </w:rPr>
        <w:t xml:space="preserve"> réduire</w:t>
      </w:r>
      <w:r w:rsidR="0078054E">
        <w:rPr>
          <w:rFonts w:asciiTheme="minorHAnsi" w:hAnsiTheme="minorHAnsi"/>
          <w:bCs/>
        </w:rPr>
        <w:t xml:space="preserve"> la </w:t>
      </w:r>
      <w:r w:rsidR="00B6615B">
        <w:rPr>
          <w:rFonts w:asciiTheme="minorHAnsi" w:hAnsiTheme="minorHAnsi"/>
          <w:bCs/>
        </w:rPr>
        <w:t>ROSP</w:t>
      </w:r>
      <w:r w:rsidR="00400B12">
        <w:rPr>
          <w:rFonts w:asciiTheme="minorHAnsi" w:hAnsiTheme="minorHAnsi"/>
          <w:bCs/>
        </w:rPr>
        <w:t xml:space="preserve"> </w:t>
      </w:r>
      <w:r w:rsidR="00136C0D">
        <w:rPr>
          <w:rFonts w:asciiTheme="minorHAnsi" w:hAnsiTheme="minorHAnsi"/>
          <w:bCs/>
        </w:rPr>
        <w:t xml:space="preserve">relative à la dispensation de spécialités génériques, dont le </w:t>
      </w:r>
      <w:r w:rsidR="00400B12">
        <w:rPr>
          <w:rFonts w:asciiTheme="minorHAnsi" w:hAnsiTheme="minorHAnsi"/>
          <w:bCs/>
        </w:rPr>
        <w:t xml:space="preserve">montant </w:t>
      </w:r>
      <w:r w:rsidR="00136C0D">
        <w:rPr>
          <w:rFonts w:asciiTheme="minorHAnsi" w:hAnsiTheme="minorHAnsi"/>
          <w:bCs/>
        </w:rPr>
        <w:t xml:space="preserve">actuel est </w:t>
      </w:r>
      <w:r w:rsidR="00400B12">
        <w:rPr>
          <w:rFonts w:asciiTheme="minorHAnsi" w:hAnsiTheme="minorHAnsi"/>
          <w:bCs/>
        </w:rPr>
        <w:t xml:space="preserve">de 140 millions </w:t>
      </w:r>
      <w:r w:rsidR="00AB7F83">
        <w:rPr>
          <w:rFonts w:asciiTheme="minorHAnsi" w:hAnsiTheme="minorHAnsi"/>
          <w:bCs/>
        </w:rPr>
        <w:t>d’euros</w:t>
      </w:r>
      <w:r w:rsidR="00400B12">
        <w:rPr>
          <w:rFonts w:asciiTheme="minorHAnsi" w:hAnsiTheme="minorHAnsi"/>
          <w:bCs/>
        </w:rPr>
        <w:t xml:space="preserve">, </w:t>
      </w:r>
      <w:r w:rsidR="00B6615B">
        <w:rPr>
          <w:rFonts w:asciiTheme="minorHAnsi" w:hAnsiTheme="minorHAnsi"/>
          <w:bCs/>
        </w:rPr>
        <w:t>de 25 millions en 2018, puis de 15 millions en 2019.</w:t>
      </w:r>
      <w:r w:rsidR="005351E2">
        <w:rPr>
          <w:rFonts w:asciiTheme="minorHAnsi" w:hAnsiTheme="minorHAnsi"/>
          <w:bCs/>
        </w:rPr>
        <w:t xml:space="preserve"> </w:t>
      </w:r>
      <w:r w:rsidR="00D07B3C">
        <w:rPr>
          <w:rFonts w:asciiTheme="minorHAnsi" w:hAnsiTheme="minorHAnsi"/>
          <w:bCs/>
        </w:rPr>
        <w:t xml:space="preserve"> </w:t>
      </w:r>
      <w:r w:rsidR="008F5F3B">
        <w:rPr>
          <w:rFonts w:asciiTheme="minorHAnsi" w:hAnsiTheme="minorHAnsi"/>
          <w:bCs/>
        </w:rPr>
        <w:t xml:space="preserve">Pour 2018, cette baisse </w:t>
      </w:r>
      <w:r w:rsidR="005351E2">
        <w:rPr>
          <w:rFonts w:asciiTheme="minorHAnsi" w:hAnsiTheme="minorHAnsi"/>
          <w:bCs/>
        </w:rPr>
        <w:t>représente</w:t>
      </w:r>
      <w:r w:rsidR="0070547F">
        <w:rPr>
          <w:rFonts w:asciiTheme="minorHAnsi" w:hAnsiTheme="minorHAnsi"/>
          <w:bCs/>
        </w:rPr>
        <w:t>ra</w:t>
      </w:r>
      <w:r w:rsidR="005351E2">
        <w:rPr>
          <w:rFonts w:asciiTheme="minorHAnsi" w:hAnsiTheme="minorHAnsi"/>
          <w:bCs/>
        </w:rPr>
        <w:t xml:space="preserve"> une perte moyenne de 1 1</w:t>
      </w:r>
      <w:r w:rsidR="00400B12">
        <w:rPr>
          <w:rFonts w:asciiTheme="minorHAnsi" w:hAnsiTheme="minorHAnsi"/>
          <w:bCs/>
        </w:rPr>
        <w:t>5</w:t>
      </w:r>
      <w:r w:rsidR="005351E2">
        <w:rPr>
          <w:rFonts w:asciiTheme="minorHAnsi" w:hAnsiTheme="minorHAnsi"/>
          <w:bCs/>
        </w:rPr>
        <w:t>0 euros par officine</w:t>
      </w:r>
      <w:r w:rsidR="00136C0D">
        <w:rPr>
          <w:rFonts w:asciiTheme="minorHAnsi" w:hAnsiTheme="minorHAnsi"/>
          <w:bCs/>
        </w:rPr>
        <w:t>,</w:t>
      </w:r>
      <w:r w:rsidR="00400B12">
        <w:rPr>
          <w:rFonts w:asciiTheme="minorHAnsi" w:hAnsiTheme="minorHAnsi"/>
          <w:bCs/>
        </w:rPr>
        <w:t xml:space="preserve"> puis de plus de 1</w:t>
      </w:r>
      <w:r w:rsidR="00AB7F83">
        <w:rPr>
          <w:rFonts w:asciiTheme="minorHAnsi" w:hAnsiTheme="minorHAnsi"/>
          <w:bCs/>
        </w:rPr>
        <w:t> </w:t>
      </w:r>
      <w:r w:rsidR="00400B12">
        <w:rPr>
          <w:rFonts w:asciiTheme="minorHAnsi" w:hAnsiTheme="minorHAnsi"/>
          <w:bCs/>
        </w:rPr>
        <w:t>800</w:t>
      </w:r>
      <w:r w:rsidR="00AB7F83">
        <w:rPr>
          <w:rFonts w:asciiTheme="minorHAnsi" w:hAnsiTheme="minorHAnsi"/>
          <w:bCs/>
        </w:rPr>
        <w:t xml:space="preserve"> euros</w:t>
      </w:r>
      <w:r w:rsidR="00400B12">
        <w:rPr>
          <w:rFonts w:asciiTheme="minorHAnsi" w:hAnsiTheme="minorHAnsi"/>
          <w:bCs/>
        </w:rPr>
        <w:t xml:space="preserve"> au titre de 2019</w:t>
      </w:r>
      <w:r w:rsidR="005351E2">
        <w:rPr>
          <w:rFonts w:asciiTheme="minorHAnsi" w:hAnsiTheme="minorHAnsi"/>
          <w:bCs/>
        </w:rPr>
        <w:t>.</w:t>
      </w:r>
    </w:p>
    <w:p w:rsidR="00D07B3C" w:rsidRDefault="00D07B3C" w:rsidP="00471C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</w:p>
    <w:p w:rsidR="00907140" w:rsidRDefault="005A62E0" w:rsidP="00471C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Cette </w:t>
      </w:r>
      <w:r w:rsidR="008F5F3B">
        <w:rPr>
          <w:rFonts w:asciiTheme="minorHAnsi" w:hAnsiTheme="minorHAnsi"/>
          <w:bCs/>
        </w:rPr>
        <w:t>diminution</w:t>
      </w:r>
      <w:r>
        <w:rPr>
          <w:rFonts w:asciiTheme="minorHAnsi" w:hAnsiTheme="minorHAnsi"/>
          <w:bCs/>
        </w:rPr>
        <w:t xml:space="preserve"> est obtenue en modifiant </w:t>
      </w:r>
      <w:r w:rsidR="00CA0E61" w:rsidRPr="0070547F">
        <w:rPr>
          <w:rFonts w:asciiTheme="minorHAnsi" w:hAnsiTheme="minorHAnsi"/>
          <w:bCs/>
        </w:rPr>
        <w:t>de nombreux paramètres</w:t>
      </w:r>
      <w:r w:rsidR="00A606C5">
        <w:rPr>
          <w:rFonts w:asciiTheme="minorHAnsi" w:hAnsiTheme="minorHAnsi"/>
          <w:bCs/>
        </w:rPr>
        <w:t xml:space="preserve"> </w:t>
      </w:r>
      <w:r w:rsidR="00CA0E61" w:rsidRPr="0070547F">
        <w:rPr>
          <w:rFonts w:asciiTheme="minorHAnsi" w:hAnsiTheme="minorHAnsi"/>
          <w:bCs/>
        </w:rPr>
        <w:t>relatifs au calcul de la ROSP</w:t>
      </w:r>
      <w:r w:rsidR="008F5F3B">
        <w:rPr>
          <w:rFonts w:asciiTheme="minorHAnsi" w:hAnsiTheme="minorHAnsi"/>
          <w:bCs/>
        </w:rPr>
        <w:t xml:space="preserve"> que nous exposerons ci-dessous</w:t>
      </w:r>
      <w:r w:rsidR="00CA0E61" w:rsidRPr="0070547F">
        <w:rPr>
          <w:rFonts w:asciiTheme="minorHAnsi" w:hAnsiTheme="minorHAnsi"/>
          <w:bCs/>
        </w:rPr>
        <w:t>.</w:t>
      </w:r>
    </w:p>
    <w:p w:rsidR="00471C42" w:rsidRPr="00C52481" w:rsidRDefault="00471C42" w:rsidP="00471C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5A6F21" w:rsidRDefault="00507296" w:rsidP="00471C42">
      <w:pPr>
        <w:spacing w:after="0" w:line="240" w:lineRule="auto"/>
        <w:jc w:val="both"/>
        <w:rPr>
          <w:rFonts w:asciiTheme="minorHAnsi" w:hAnsiTheme="minorHAnsi"/>
        </w:rPr>
      </w:pPr>
      <w:r w:rsidRPr="00D40D66">
        <w:rPr>
          <w:rFonts w:asciiTheme="minorHAnsi" w:hAnsiTheme="minorHAnsi"/>
        </w:rPr>
        <w:t xml:space="preserve">Le tableau suivant présente l’ensemble des </w:t>
      </w:r>
      <w:r w:rsidRPr="00C52481">
        <w:rPr>
          <w:rFonts w:asciiTheme="minorHAnsi" w:hAnsiTheme="minorHAnsi"/>
        </w:rPr>
        <w:t>molécules retenues pour le suivi national et individuel de la délivrance</w:t>
      </w:r>
      <w:r w:rsidR="00D40D66">
        <w:rPr>
          <w:rFonts w:asciiTheme="minorHAnsi" w:hAnsiTheme="minorHAnsi"/>
        </w:rPr>
        <w:t xml:space="preserve"> des médicaments génériques, ainsi que les différents </w:t>
      </w:r>
      <w:r w:rsidR="00A606C5">
        <w:rPr>
          <w:rFonts w:asciiTheme="minorHAnsi" w:hAnsiTheme="minorHAnsi"/>
        </w:rPr>
        <w:t xml:space="preserve">seuils  </w:t>
      </w:r>
      <w:r w:rsidR="00D40D66">
        <w:rPr>
          <w:rFonts w:asciiTheme="minorHAnsi" w:hAnsiTheme="minorHAnsi"/>
        </w:rPr>
        <w:t>servant au calcul de la ROSP.</w:t>
      </w:r>
      <w:r w:rsidR="002567A8">
        <w:rPr>
          <w:rFonts w:asciiTheme="minorHAnsi" w:hAnsiTheme="minorHAnsi"/>
        </w:rPr>
        <w:t xml:space="preserve"> </w:t>
      </w:r>
      <w:r w:rsidR="0066127A">
        <w:rPr>
          <w:rFonts w:asciiTheme="minorHAnsi" w:hAnsiTheme="minorHAnsi"/>
        </w:rPr>
        <w:t>Les lignes</w:t>
      </w:r>
      <w:r w:rsidR="00697CD3">
        <w:rPr>
          <w:rFonts w:asciiTheme="minorHAnsi" w:hAnsiTheme="minorHAnsi"/>
        </w:rPr>
        <w:t>,</w:t>
      </w:r>
      <w:r w:rsidR="0066127A">
        <w:rPr>
          <w:rFonts w:asciiTheme="minorHAnsi" w:hAnsiTheme="minorHAnsi"/>
        </w:rPr>
        <w:t xml:space="preserve"> </w:t>
      </w:r>
      <w:r w:rsidR="005A6F21">
        <w:rPr>
          <w:rFonts w:asciiTheme="minorHAnsi" w:hAnsiTheme="minorHAnsi"/>
        </w:rPr>
        <w:t>en gras</w:t>
      </w:r>
      <w:r w:rsidR="00697CD3">
        <w:rPr>
          <w:rFonts w:asciiTheme="minorHAnsi" w:hAnsiTheme="minorHAnsi"/>
        </w:rPr>
        <w:t>,</w:t>
      </w:r>
      <w:r w:rsidR="005A6F21">
        <w:rPr>
          <w:rFonts w:asciiTheme="minorHAnsi" w:hAnsiTheme="minorHAnsi"/>
        </w:rPr>
        <w:t xml:space="preserve"> indiquent l</w:t>
      </w:r>
      <w:r w:rsidR="005A6F21" w:rsidRPr="005A6F21">
        <w:rPr>
          <w:rFonts w:asciiTheme="minorHAnsi" w:hAnsiTheme="minorHAnsi"/>
        </w:rPr>
        <w:t xml:space="preserve">es molécules retenues dans le </w:t>
      </w:r>
      <w:r w:rsidR="005A6F21" w:rsidRPr="005A6F21">
        <w:rPr>
          <w:rFonts w:asciiTheme="minorHAnsi" w:hAnsiTheme="minorHAnsi"/>
        </w:rPr>
        <w:lastRenderedPageBreak/>
        <w:t>cadre de la stabilité de la délivrance des spécialités génériques pour les patients de plus de 75 ans</w:t>
      </w:r>
      <w:r w:rsidR="007614F7">
        <w:rPr>
          <w:rStyle w:val="Appelnotedebasdep"/>
          <w:rFonts w:asciiTheme="minorHAnsi" w:hAnsiTheme="minorHAnsi"/>
        </w:rPr>
        <w:footnoteReference w:id="1"/>
      </w:r>
      <w:r w:rsidR="005A6F21" w:rsidRPr="005A6F21">
        <w:rPr>
          <w:rFonts w:asciiTheme="minorHAnsi" w:hAnsiTheme="minorHAnsi"/>
        </w:rPr>
        <w:t>.</w:t>
      </w:r>
    </w:p>
    <w:p w:rsidR="00D40D66" w:rsidRDefault="00D40D66" w:rsidP="00507296">
      <w:pPr>
        <w:spacing w:after="0" w:line="240" w:lineRule="auto"/>
        <w:jc w:val="both"/>
        <w:rPr>
          <w:rFonts w:asciiTheme="minorHAnsi" w:hAnsiTheme="minorHAnsi"/>
          <w:b/>
        </w:rPr>
      </w:pP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1251"/>
        <w:gridCol w:w="3312"/>
        <w:gridCol w:w="993"/>
        <w:gridCol w:w="808"/>
        <w:gridCol w:w="622"/>
        <w:gridCol w:w="622"/>
        <w:gridCol w:w="622"/>
        <w:gridCol w:w="1115"/>
      </w:tblGrid>
      <w:tr w:rsidR="002567A8" w:rsidRPr="002567A8" w:rsidTr="00D53E1D">
        <w:trPr>
          <w:trHeight w:val="749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A906F6">
              <w:rPr>
                <w:rFonts w:asciiTheme="minorHAnsi" w:eastAsia="Times New Roman" w:hAnsiTheme="minorHAnsi"/>
                <w:color w:val="2D2D2D"/>
                <w:lang w:eastAsia="fr-FR"/>
              </w:rPr>
              <w:t>Numéro</w:t>
            </w:r>
          </w:p>
        </w:tc>
        <w:tc>
          <w:tcPr>
            <w:tcW w:w="1251" w:type="dxa"/>
            <w:vAlign w:val="center"/>
          </w:tcPr>
          <w:p w:rsidR="002567A8" w:rsidRPr="00A906F6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D2D2D"/>
                <w:lang w:eastAsia="fr-FR"/>
              </w:rPr>
            </w:pPr>
            <w:r w:rsidRPr="00A906F6">
              <w:rPr>
                <w:rFonts w:asciiTheme="minorHAnsi" w:eastAsia="Times New Roman" w:hAnsiTheme="minorHAnsi"/>
                <w:color w:val="2D2D2D"/>
                <w:lang w:eastAsia="fr-FR"/>
              </w:rPr>
              <w:t>Objectif national et individuel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Indicateur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Seuil bas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567A8" w:rsidRPr="002567A8" w:rsidRDefault="002567A8" w:rsidP="00D53E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Ta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>ux de dépa</w:t>
            </w: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rt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Seuil inter.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Seuil inter. 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Seuil inter. 3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Economie potentielle</w:t>
            </w:r>
          </w:p>
        </w:tc>
      </w:tr>
      <w:tr w:rsidR="002567A8" w:rsidRPr="002567A8" w:rsidTr="00D53E1D">
        <w:trPr>
          <w:trHeight w:val="262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2D2D2D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1</w:t>
            </w:r>
          </w:p>
        </w:tc>
        <w:tc>
          <w:tcPr>
            <w:tcW w:w="1251" w:type="dxa"/>
            <w:vAlign w:val="center"/>
          </w:tcPr>
          <w:p w:rsidR="002567A8" w:rsidRPr="00A906F6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2D2D2D"/>
                <w:lang w:eastAsia="fr-FR"/>
              </w:rPr>
            </w:pPr>
            <w:r w:rsidRPr="00A906F6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95 %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ATORVASTATINE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76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81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86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91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96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19,3 M€</w:t>
            </w:r>
          </w:p>
        </w:tc>
      </w:tr>
      <w:tr w:rsidR="002567A8" w:rsidRPr="002567A8" w:rsidTr="00D53E1D">
        <w:trPr>
          <w:trHeight w:val="243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2D2D2D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2</w:t>
            </w:r>
          </w:p>
        </w:tc>
        <w:tc>
          <w:tcPr>
            <w:tcW w:w="1251" w:type="dxa"/>
            <w:vAlign w:val="center"/>
          </w:tcPr>
          <w:p w:rsidR="002567A8" w:rsidRPr="00A906F6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2D2D2D"/>
                <w:lang w:eastAsia="fr-FR"/>
              </w:rPr>
            </w:pPr>
            <w:r w:rsidRPr="00A906F6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81 %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ROSUVASTATINE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76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81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86</w:t>
            </w:r>
            <w:r w:rsidR="00D53E1D">
              <w:rPr>
                <w:rFonts w:asciiTheme="minorHAnsi" w:eastAsia="Times New Roman" w:hAnsiTheme="minorHAnsi"/>
                <w:b/>
                <w:color w:val="464646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91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96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18</w:t>
            </w:r>
            <w:r w:rsidRPr="002567A8">
              <w:rPr>
                <w:rFonts w:asciiTheme="minorHAnsi" w:eastAsia="Times New Roman" w:hAnsiTheme="minorHAnsi"/>
                <w:b/>
                <w:color w:val="464646"/>
                <w:lang w:eastAsia="fr-FR"/>
              </w:rPr>
              <w:t>,</w:t>
            </w: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1 M€</w:t>
            </w:r>
          </w:p>
        </w:tc>
      </w:tr>
      <w:tr w:rsidR="002567A8" w:rsidRPr="002567A8" w:rsidTr="00D53E1D">
        <w:trPr>
          <w:trHeight w:val="243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2D2D2D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3</w:t>
            </w:r>
          </w:p>
        </w:tc>
        <w:tc>
          <w:tcPr>
            <w:tcW w:w="1251" w:type="dxa"/>
            <w:vAlign w:val="center"/>
          </w:tcPr>
          <w:p w:rsidR="002567A8" w:rsidRPr="00A906F6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2D2D2D"/>
                <w:lang w:eastAsia="fr-FR"/>
              </w:rPr>
            </w:pPr>
            <w:r w:rsidRPr="00A906F6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95 %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METFORMINE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76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81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86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91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96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8</w:t>
            </w:r>
            <w:r w:rsidRPr="002567A8">
              <w:rPr>
                <w:rFonts w:asciiTheme="minorHAnsi" w:eastAsia="Times New Roman" w:hAnsiTheme="minorHAnsi"/>
                <w:b/>
                <w:color w:val="464646"/>
                <w:lang w:eastAsia="fr-FR"/>
              </w:rPr>
              <w:t>,</w:t>
            </w: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1 M€</w:t>
            </w:r>
          </w:p>
        </w:tc>
      </w:tr>
      <w:tr w:rsidR="002567A8" w:rsidRPr="002567A8" w:rsidTr="00D53E1D">
        <w:trPr>
          <w:trHeight w:val="243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D2D2D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4</w:t>
            </w:r>
          </w:p>
        </w:tc>
        <w:tc>
          <w:tcPr>
            <w:tcW w:w="1251" w:type="dxa"/>
            <w:vAlign w:val="center"/>
          </w:tcPr>
          <w:p w:rsidR="002567A8" w:rsidRPr="00A906F6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D2D2D"/>
                <w:lang w:eastAsia="fr-FR"/>
              </w:rPr>
            </w:pPr>
            <w:r w:rsidRPr="00A906F6">
              <w:rPr>
                <w:rFonts w:asciiTheme="minorHAnsi" w:eastAsia="Times New Roman" w:hAnsiTheme="minorHAnsi"/>
                <w:color w:val="2D2D2D"/>
                <w:lang w:eastAsia="fr-FR"/>
              </w:rPr>
              <w:t>85 %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ESOMEPRAZOLE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76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81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86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91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96</w:t>
            </w:r>
            <w:r w:rsidR="00D53E1D">
              <w:rPr>
                <w:rFonts w:asciiTheme="minorHAnsi" w:eastAsia="Times New Roman" w:hAnsiTheme="minorHAnsi"/>
                <w:color w:val="464646"/>
                <w:lang w:eastAsia="fr-FR"/>
              </w:rPr>
              <w:t xml:space="preserve"> %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7</w:t>
            </w:r>
            <w:r w:rsidRPr="002567A8">
              <w:rPr>
                <w:rFonts w:asciiTheme="minorHAnsi" w:eastAsia="Times New Roman" w:hAnsiTheme="minorHAnsi"/>
                <w:color w:val="464646"/>
                <w:lang w:eastAsia="fr-FR"/>
              </w:rPr>
              <w:t>,</w:t>
            </w: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4 M€</w:t>
            </w:r>
          </w:p>
        </w:tc>
      </w:tr>
      <w:tr w:rsidR="002567A8" w:rsidRPr="002567A8" w:rsidTr="00D53E1D">
        <w:trPr>
          <w:trHeight w:val="243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2D2D2D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5</w:t>
            </w:r>
          </w:p>
        </w:tc>
        <w:tc>
          <w:tcPr>
            <w:tcW w:w="1251" w:type="dxa"/>
            <w:vAlign w:val="center"/>
          </w:tcPr>
          <w:p w:rsidR="002567A8" w:rsidRPr="00A906F6" w:rsidRDefault="00525381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2D2D2D"/>
                <w:lang w:eastAsia="fr-FR"/>
              </w:rPr>
            </w:pPr>
            <w:r w:rsidRPr="00A906F6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95 %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PRAVASTATINE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76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81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86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91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96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7,4 M€</w:t>
            </w:r>
          </w:p>
        </w:tc>
      </w:tr>
      <w:tr w:rsidR="002567A8" w:rsidRPr="002567A8" w:rsidTr="00D53E1D">
        <w:trPr>
          <w:trHeight w:val="243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2D2D2D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6</w:t>
            </w:r>
          </w:p>
        </w:tc>
        <w:tc>
          <w:tcPr>
            <w:tcW w:w="1251" w:type="dxa"/>
            <w:vAlign w:val="center"/>
          </w:tcPr>
          <w:p w:rsidR="002567A8" w:rsidRPr="00A906F6" w:rsidRDefault="00525381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2D2D2D"/>
                <w:lang w:eastAsia="fr-FR"/>
              </w:rPr>
            </w:pPr>
            <w:r w:rsidRPr="00A906F6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90 %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MONTELUKAST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76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81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86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91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96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6,3 M€</w:t>
            </w:r>
          </w:p>
        </w:tc>
      </w:tr>
      <w:tr w:rsidR="002567A8" w:rsidRPr="002567A8" w:rsidTr="00D53E1D">
        <w:trPr>
          <w:trHeight w:val="243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464646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464646"/>
                <w:lang w:eastAsia="fr-FR"/>
              </w:rPr>
              <w:t>7</w:t>
            </w:r>
          </w:p>
        </w:tc>
        <w:tc>
          <w:tcPr>
            <w:tcW w:w="1251" w:type="dxa"/>
            <w:vAlign w:val="center"/>
          </w:tcPr>
          <w:p w:rsidR="002567A8" w:rsidRPr="00A906F6" w:rsidRDefault="00525381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2D2D2D"/>
                <w:lang w:eastAsia="fr-FR"/>
              </w:rPr>
            </w:pPr>
            <w:r w:rsidRPr="00A906F6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80 %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QUETIAPINE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73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78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83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88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93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7,2 M€</w:t>
            </w:r>
          </w:p>
        </w:tc>
      </w:tr>
      <w:tr w:rsidR="002567A8" w:rsidRPr="002567A8" w:rsidTr="00D53E1D">
        <w:trPr>
          <w:trHeight w:val="243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2D2D2D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8</w:t>
            </w:r>
          </w:p>
        </w:tc>
        <w:tc>
          <w:tcPr>
            <w:tcW w:w="1251" w:type="dxa"/>
            <w:vAlign w:val="center"/>
          </w:tcPr>
          <w:p w:rsidR="002567A8" w:rsidRPr="00A906F6" w:rsidRDefault="00525381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2D2D2D"/>
                <w:lang w:eastAsia="fr-FR"/>
              </w:rPr>
            </w:pPr>
            <w:r w:rsidRPr="00A906F6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95 %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LERCANIDIPINE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76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81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86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91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96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5,</w:t>
            </w:r>
            <w:r w:rsidR="00A906F6" w:rsidRPr="00A906F6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5</w:t>
            </w: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M€</w:t>
            </w:r>
          </w:p>
        </w:tc>
      </w:tr>
      <w:tr w:rsidR="002567A8" w:rsidRPr="002567A8" w:rsidTr="00D53E1D">
        <w:trPr>
          <w:trHeight w:val="243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2D2D2D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</w:t>
            </w:r>
          </w:p>
        </w:tc>
        <w:tc>
          <w:tcPr>
            <w:tcW w:w="1251" w:type="dxa"/>
            <w:vAlign w:val="center"/>
          </w:tcPr>
          <w:p w:rsidR="002567A8" w:rsidRPr="00A906F6" w:rsidRDefault="00C0505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2D2D2D"/>
                <w:lang w:eastAsia="fr-FR"/>
              </w:rPr>
            </w:pPr>
            <w:r w:rsidRPr="00A906F6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95 %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SIMVASTATINE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76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81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86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91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96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2567A8" w:rsidRPr="002567A8" w:rsidRDefault="00A906F6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A906F6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5,5</w:t>
            </w:r>
            <w:r w:rsidR="002567A8"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M€</w:t>
            </w:r>
          </w:p>
        </w:tc>
      </w:tr>
      <w:tr w:rsidR="002567A8" w:rsidRPr="002567A8" w:rsidTr="00D53E1D">
        <w:trPr>
          <w:trHeight w:val="243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2D2D2D"/>
                <w:lang w:eastAsia="fr-FR"/>
              </w:rPr>
            </w:pPr>
            <w:r w:rsidRPr="002567A8">
              <w:rPr>
                <w:rFonts w:asciiTheme="minorHAnsi" w:eastAsia="Times New Roman" w:hAnsiTheme="minorHAnsi" w:cs="Arial"/>
                <w:color w:val="2D2D2D"/>
                <w:lang w:eastAsia="fr-FR"/>
              </w:rPr>
              <w:t>10</w:t>
            </w:r>
          </w:p>
        </w:tc>
        <w:tc>
          <w:tcPr>
            <w:tcW w:w="1251" w:type="dxa"/>
            <w:vAlign w:val="center"/>
          </w:tcPr>
          <w:p w:rsidR="002567A8" w:rsidRPr="00A906F6" w:rsidRDefault="00C0505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D2D2D"/>
                <w:lang w:eastAsia="fr-FR"/>
              </w:rPr>
            </w:pPr>
            <w:r w:rsidRPr="00A906F6">
              <w:rPr>
                <w:rFonts w:asciiTheme="minorHAnsi" w:eastAsia="Times New Roman" w:hAnsiTheme="minorHAnsi"/>
                <w:color w:val="2D2D2D"/>
                <w:lang w:eastAsia="fr-FR"/>
              </w:rPr>
              <w:t>90 %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TRAMADOL + PARACETAMOL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76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81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86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91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96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S M€</w:t>
            </w:r>
          </w:p>
        </w:tc>
      </w:tr>
      <w:tr w:rsidR="002567A8" w:rsidRPr="002567A8" w:rsidTr="00D53E1D">
        <w:trPr>
          <w:trHeight w:val="243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2D2D2D"/>
                <w:lang w:eastAsia="fr-FR"/>
              </w:rPr>
            </w:pPr>
            <w:r w:rsidRPr="002567A8">
              <w:rPr>
                <w:rFonts w:asciiTheme="minorHAnsi" w:eastAsia="Times New Roman" w:hAnsiTheme="minorHAnsi" w:cs="Arial"/>
                <w:color w:val="2D2D2D"/>
                <w:lang w:eastAsia="fr-FR"/>
              </w:rPr>
              <w:t>11</w:t>
            </w:r>
          </w:p>
        </w:tc>
        <w:tc>
          <w:tcPr>
            <w:tcW w:w="1251" w:type="dxa"/>
            <w:vAlign w:val="center"/>
          </w:tcPr>
          <w:p w:rsidR="002567A8" w:rsidRPr="00A906F6" w:rsidRDefault="00C0505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D2D2D"/>
                <w:lang w:eastAsia="fr-FR"/>
              </w:rPr>
            </w:pPr>
            <w:r w:rsidRPr="00A906F6">
              <w:rPr>
                <w:rFonts w:asciiTheme="minorHAnsi" w:eastAsia="Times New Roman" w:hAnsiTheme="minorHAnsi"/>
                <w:color w:val="2D2D2D"/>
                <w:lang w:eastAsia="fr-FR"/>
              </w:rPr>
              <w:t>95 %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OMEPRAZOLE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76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81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86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91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96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4,8 M€</w:t>
            </w:r>
          </w:p>
        </w:tc>
      </w:tr>
      <w:tr w:rsidR="002567A8" w:rsidRPr="002567A8" w:rsidTr="00D53E1D">
        <w:trPr>
          <w:trHeight w:val="243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2D2D2D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12</w:t>
            </w:r>
          </w:p>
        </w:tc>
        <w:tc>
          <w:tcPr>
            <w:tcW w:w="1251" w:type="dxa"/>
            <w:vAlign w:val="center"/>
          </w:tcPr>
          <w:p w:rsidR="002567A8" w:rsidRPr="00A906F6" w:rsidRDefault="00C0505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2D2D2D"/>
                <w:lang w:eastAsia="fr-FR"/>
              </w:rPr>
            </w:pPr>
            <w:r w:rsidRPr="00A906F6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85 %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DULOXETINE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76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81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86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91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96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4,3 M€</w:t>
            </w:r>
          </w:p>
        </w:tc>
      </w:tr>
      <w:tr w:rsidR="002567A8" w:rsidRPr="002567A8" w:rsidTr="00D53E1D">
        <w:trPr>
          <w:trHeight w:val="243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2D2D2D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13</w:t>
            </w:r>
          </w:p>
        </w:tc>
        <w:tc>
          <w:tcPr>
            <w:tcW w:w="1251" w:type="dxa"/>
            <w:vAlign w:val="center"/>
          </w:tcPr>
          <w:p w:rsidR="002567A8" w:rsidRPr="00A906F6" w:rsidRDefault="00C0505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2D2D2D"/>
                <w:lang w:eastAsia="fr-FR"/>
              </w:rPr>
            </w:pPr>
            <w:r w:rsidRPr="00A906F6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95 %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RAMIPRIL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76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81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86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91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96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4,2 M€</w:t>
            </w:r>
          </w:p>
        </w:tc>
      </w:tr>
      <w:tr w:rsidR="002567A8" w:rsidRPr="002567A8" w:rsidTr="00D53E1D">
        <w:trPr>
          <w:trHeight w:val="243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D2D2D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14</w:t>
            </w:r>
          </w:p>
        </w:tc>
        <w:tc>
          <w:tcPr>
            <w:tcW w:w="1251" w:type="dxa"/>
            <w:vAlign w:val="center"/>
          </w:tcPr>
          <w:p w:rsidR="002567A8" w:rsidRPr="00A906F6" w:rsidRDefault="00A906F6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D2D2D"/>
                <w:lang w:eastAsia="fr-FR"/>
              </w:rPr>
            </w:pPr>
            <w:r w:rsidRPr="00A906F6">
              <w:rPr>
                <w:rFonts w:asciiTheme="minorHAnsi" w:eastAsia="Times New Roman" w:hAnsiTheme="minorHAnsi"/>
                <w:color w:val="2D2D2D"/>
                <w:lang w:eastAsia="fr-FR"/>
              </w:rPr>
              <w:t>95 %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PANTOPRAZOLE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76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81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86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91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96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4 M€</w:t>
            </w:r>
          </w:p>
        </w:tc>
      </w:tr>
      <w:tr w:rsidR="002567A8" w:rsidRPr="002567A8" w:rsidTr="00D53E1D">
        <w:trPr>
          <w:trHeight w:val="243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D2D2D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15</w:t>
            </w:r>
          </w:p>
        </w:tc>
        <w:tc>
          <w:tcPr>
            <w:tcW w:w="1251" w:type="dxa"/>
            <w:vAlign w:val="center"/>
          </w:tcPr>
          <w:p w:rsidR="002567A8" w:rsidRPr="00A906F6" w:rsidRDefault="00A906F6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D2D2D"/>
                <w:lang w:eastAsia="fr-FR"/>
              </w:rPr>
            </w:pPr>
            <w:r w:rsidRPr="00A906F6">
              <w:rPr>
                <w:rFonts w:asciiTheme="minorHAnsi" w:eastAsia="Times New Roman" w:hAnsiTheme="minorHAnsi"/>
                <w:color w:val="2D2D2D"/>
                <w:lang w:eastAsia="fr-FR"/>
              </w:rPr>
              <w:t>25 %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OXYCODONE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20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25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30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35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40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13</w:t>
            </w:r>
            <w:r w:rsidRPr="002567A8">
              <w:rPr>
                <w:rFonts w:asciiTheme="minorHAnsi" w:eastAsia="Times New Roman" w:hAnsiTheme="minorHAnsi"/>
                <w:color w:val="464646"/>
                <w:lang w:eastAsia="fr-FR"/>
              </w:rPr>
              <w:t>,</w:t>
            </w: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7 M€</w:t>
            </w:r>
          </w:p>
        </w:tc>
      </w:tr>
      <w:tr w:rsidR="002567A8" w:rsidRPr="002567A8" w:rsidTr="00D53E1D">
        <w:trPr>
          <w:trHeight w:val="243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2D2D2D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16</w:t>
            </w:r>
          </w:p>
        </w:tc>
        <w:tc>
          <w:tcPr>
            <w:tcW w:w="1251" w:type="dxa"/>
            <w:vAlign w:val="center"/>
          </w:tcPr>
          <w:p w:rsidR="002567A8" w:rsidRPr="00A906F6" w:rsidRDefault="00A906F6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2D2D2D"/>
                <w:lang w:eastAsia="fr-FR"/>
              </w:rPr>
            </w:pPr>
            <w:r w:rsidRPr="00A906F6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90 %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GLICLAZIDE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76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81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86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91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96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3</w:t>
            </w:r>
            <w:r w:rsidRPr="002567A8">
              <w:rPr>
                <w:rFonts w:asciiTheme="minorHAnsi" w:eastAsia="Times New Roman" w:hAnsiTheme="minorHAnsi"/>
                <w:b/>
                <w:color w:val="464646"/>
                <w:lang w:eastAsia="fr-FR"/>
              </w:rPr>
              <w:t>,</w:t>
            </w: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4 M€</w:t>
            </w:r>
          </w:p>
        </w:tc>
      </w:tr>
      <w:tr w:rsidR="002567A8" w:rsidRPr="002567A8" w:rsidTr="00D53E1D">
        <w:trPr>
          <w:trHeight w:val="243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D2D2D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17</w:t>
            </w:r>
          </w:p>
        </w:tc>
        <w:tc>
          <w:tcPr>
            <w:tcW w:w="1251" w:type="dxa"/>
            <w:vAlign w:val="center"/>
          </w:tcPr>
          <w:p w:rsidR="002567A8" w:rsidRPr="00A906F6" w:rsidRDefault="00A906F6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D2D2D"/>
                <w:lang w:eastAsia="fr-FR"/>
              </w:rPr>
            </w:pPr>
            <w:r w:rsidRPr="00A906F6">
              <w:rPr>
                <w:rFonts w:asciiTheme="minorHAnsi" w:eastAsia="Times New Roman" w:hAnsiTheme="minorHAnsi"/>
                <w:color w:val="2D2D2D"/>
                <w:lang w:eastAsia="fr-FR"/>
              </w:rPr>
              <w:t>95 %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VALACICLOVIR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76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81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86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91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96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3,2 M€</w:t>
            </w:r>
          </w:p>
        </w:tc>
      </w:tr>
      <w:tr w:rsidR="002567A8" w:rsidRPr="002567A8" w:rsidTr="00D53E1D">
        <w:trPr>
          <w:trHeight w:val="243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2D2D2D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18</w:t>
            </w:r>
          </w:p>
        </w:tc>
        <w:tc>
          <w:tcPr>
            <w:tcW w:w="1251" w:type="dxa"/>
            <w:vAlign w:val="center"/>
          </w:tcPr>
          <w:p w:rsidR="002567A8" w:rsidRPr="00A906F6" w:rsidRDefault="00A906F6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2D2D2D"/>
                <w:lang w:eastAsia="fr-FR"/>
              </w:rPr>
            </w:pPr>
            <w:r w:rsidRPr="00A906F6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80 %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CLOPIDOGREL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75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80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85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90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95</w:t>
            </w:r>
            <w:r w:rsid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3</w:t>
            </w:r>
            <w:r w:rsidRPr="002567A8">
              <w:rPr>
                <w:rFonts w:asciiTheme="minorHAnsi" w:eastAsia="Times New Roman" w:hAnsiTheme="minorHAnsi"/>
                <w:b/>
                <w:color w:val="464646"/>
                <w:lang w:eastAsia="fr-FR"/>
              </w:rPr>
              <w:t>,</w:t>
            </w: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3 M€</w:t>
            </w:r>
          </w:p>
        </w:tc>
      </w:tr>
      <w:tr w:rsidR="002567A8" w:rsidRPr="002567A8" w:rsidTr="00D53E1D">
        <w:trPr>
          <w:trHeight w:val="243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D2D2D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19</w:t>
            </w:r>
          </w:p>
        </w:tc>
        <w:tc>
          <w:tcPr>
            <w:tcW w:w="1251" w:type="dxa"/>
            <w:vAlign w:val="center"/>
          </w:tcPr>
          <w:p w:rsidR="002567A8" w:rsidRPr="00A906F6" w:rsidRDefault="00A906F6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D2D2D"/>
                <w:lang w:eastAsia="fr-FR"/>
              </w:rPr>
            </w:pPr>
            <w:r w:rsidRPr="00A906F6">
              <w:rPr>
                <w:rFonts w:asciiTheme="minorHAnsi" w:eastAsia="Times New Roman" w:hAnsiTheme="minorHAnsi"/>
                <w:color w:val="2D2D2D"/>
                <w:lang w:eastAsia="fr-FR"/>
              </w:rPr>
              <w:t>90 %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REPAGLINIDE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76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81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86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91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96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2,9 M€</w:t>
            </w:r>
          </w:p>
        </w:tc>
      </w:tr>
      <w:tr w:rsidR="002567A8" w:rsidRPr="002567A8" w:rsidTr="00D53E1D">
        <w:trPr>
          <w:trHeight w:val="243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2D2D2D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20</w:t>
            </w:r>
          </w:p>
        </w:tc>
        <w:tc>
          <w:tcPr>
            <w:tcW w:w="1251" w:type="dxa"/>
            <w:vAlign w:val="center"/>
          </w:tcPr>
          <w:p w:rsidR="002567A8" w:rsidRPr="00D53E1D" w:rsidRDefault="00A906F6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2D2D2D"/>
                <w:lang w:eastAsia="fr-FR"/>
              </w:rPr>
            </w:pPr>
            <w:r w:rsidRP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90 %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ESCITALOPRAM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76</w:t>
            </w:r>
            <w:r w:rsidR="00D53E1D" w:rsidRP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81</w:t>
            </w:r>
            <w:r w:rsidR="00D53E1D" w:rsidRP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86</w:t>
            </w:r>
            <w:r w:rsidR="00D53E1D" w:rsidRP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91</w:t>
            </w:r>
            <w:r w:rsidR="00D53E1D" w:rsidRP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96</w:t>
            </w:r>
            <w:r w:rsidR="00D53E1D" w:rsidRPr="00D53E1D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 xml:space="preserve"> %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2</w:t>
            </w:r>
            <w:r w:rsidRPr="002567A8">
              <w:rPr>
                <w:rFonts w:asciiTheme="minorHAnsi" w:eastAsia="Times New Roman" w:hAnsiTheme="minorHAnsi"/>
                <w:b/>
                <w:color w:val="464646"/>
                <w:lang w:eastAsia="fr-FR"/>
              </w:rPr>
              <w:t>,</w:t>
            </w:r>
            <w:r w:rsidRPr="002567A8">
              <w:rPr>
                <w:rFonts w:asciiTheme="minorHAnsi" w:eastAsia="Times New Roman" w:hAnsiTheme="minorHAnsi"/>
                <w:b/>
                <w:color w:val="2D2D2D"/>
                <w:lang w:eastAsia="fr-FR"/>
              </w:rPr>
              <w:t>8 M€</w:t>
            </w:r>
          </w:p>
        </w:tc>
      </w:tr>
      <w:tr w:rsidR="002567A8" w:rsidRPr="002567A8" w:rsidTr="00D53E1D">
        <w:trPr>
          <w:trHeight w:val="243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D2D2D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21</w:t>
            </w:r>
          </w:p>
        </w:tc>
        <w:tc>
          <w:tcPr>
            <w:tcW w:w="1251" w:type="dxa"/>
            <w:vAlign w:val="center"/>
          </w:tcPr>
          <w:p w:rsidR="002567A8" w:rsidRPr="00A906F6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D2D2D"/>
                <w:lang w:eastAsia="fr-FR"/>
              </w:rPr>
            </w:pP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Reste du répertoire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76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81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86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91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96</w:t>
            </w:r>
            <w:r w:rsidR="00D53E1D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%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2567A8" w:rsidRPr="002567A8" w:rsidRDefault="002567A8" w:rsidP="00A906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131</w:t>
            </w:r>
            <w:r w:rsidRPr="002567A8">
              <w:rPr>
                <w:rFonts w:asciiTheme="minorHAnsi" w:eastAsia="Times New Roman" w:hAnsiTheme="minorHAnsi"/>
                <w:color w:val="464646"/>
                <w:lang w:eastAsia="fr-FR"/>
              </w:rPr>
              <w:t>,</w:t>
            </w: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2 M€</w:t>
            </w:r>
          </w:p>
        </w:tc>
      </w:tr>
    </w:tbl>
    <w:p w:rsidR="00D07B3C" w:rsidRDefault="00D07B3C" w:rsidP="00D07B3C">
      <w:pPr>
        <w:spacing w:after="0" w:line="240" w:lineRule="auto"/>
        <w:jc w:val="both"/>
        <w:rPr>
          <w:rFonts w:asciiTheme="minorHAnsi" w:hAnsiTheme="minorHAnsi"/>
        </w:rPr>
      </w:pPr>
    </w:p>
    <w:p w:rsidR="00D07B3C" w:rsidRDefault="00D07B3C" w:rsidP="00D07B3C">
      <w:pPr>
        <w:spacing w:after="0" w:line="240" w:lineRule="auto"/>
        <w:jc w:val="both"/>
        <w:rPr>
          <w:rFonts w:asciiTheme="minorHAnsi" w:hAnsiTheme="minorHAnsi"/>
        </w:rPr>
      </w:pPr>
      <w:r w:rsidRPr="007166DA">
        <w:rPr>
          <w:rFonts w:asciiTheme="minorHAnsi" w:hAnsiTheme="minorHAnsi"/>
        </w:rPr>
        <w:t xml:space="preserve">Nous appelons votre attention sur le fait qu’obtenir un taux de stabilité supérieur à 95 % </w:t>
      </w:r>
      <w:r>
        <w:rPr>
          <w:rFonts w:asciiTheme="minorHAnsi" w:hAnsiTheme="minorHAnsi"/>
        </w:rPr>
        <w:t>pour ces molécules, donne</w:t>
      </w:r>
      <w:r w:rsidRPr="007166DA">
        <w:rPr>
          <w:rFonts w:asciiTheme="minorHAnsi" w:hAnsiTheme="minorHAnsi"/>
        </w:rPr>
        <w:t xml:space="preserve"> droit à un bonus</w:t>
      </w:r>
      <w:r>
        <w:rPr>
          <w:rFonts w:asciiTheme="minorHAnsi" w:hAnsiTheme="minorHAnsi"/>
        </w:rPr>
        <w:t xml:space="preserve"> de 20 %</w:t>
      </w:r>
      <w:r w:rsidR="00C673B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pour les lignes concernées. A contrario</w:t>
      </w:r>
      <w:r w:rsidR="00C673B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un taux inférieur à 90 </w:t>
      </w:r>
      <w:r w:rsidR="00C673B7">
        <w:rPr>
          <w:rFonts w:asciiTheme="minorHAnsi" w:hAnsiTheme="minorHAnsi"/>
        </w:rPr>
        <w:t>% entraî</w:t>
      </w:r>
      <w:r>
        <w:rPr>
          <w:rFonts w:asciiTheme="minorHAnsi" w:hAnsiTheme="minorHAnsi"/>
        </w:rPr>
        <w:t>ne</w:t>
      </w:r>
      <w:r w:rsidR="008F5F3B">
        <w:rPr>
          <w:rFonts w:asciiTheme="minorHAnsi" w:hAnsiTheme="minorHAnsi"/>
        </w:rPr>
        <w:t xml:space="preserve"> un malus </w:t>
      </w:r>
      <w:r>
        <w:rPr>
          <w:rFonts w:asciiTheme="minorHAnsi" w:hAnsiTheme="minorHAnsi"/>
        </w:rPr>
        <w:t xml:space="preserve">de 20 </w:t>
      </w:r>
      <w:r w:rsidR="008F5F3B">
        <w:rPr>
          <w:rFonts w:asciiTheme="minorHAnsi" w:hAnsiTheme="minorHAnsi"/>
        </w:rPr>
        <w:t>% sur</w:t>
      </w:r>
      <w:r>
        <w:rPr>
          <w:rFonts w:asciiTheme="minorHAnsi" w:hAnsiTheme="minorHAnsi"/>
        </w:rPr>
        <w:t xml:space="preserve"> ces lignes.</w:t>
      </w:r>
    </w:p>
    <w:p w:rsidR="00D07B3C" w:rsidRDefault="00D07B3C" w:rsidP="00507296">
      <w:pPr>
        <w:spacing w:after="0" w:line="240" w:lineRule="auto"/>
        <w:jc w:val="both"/>
        <w:rPr>
          <w:rFonts w:asciiTheme="minorHAnsi" w:hAnsiTheme="minorHAnsi"/>
        </w:rPr>
      </w:pPr>
    </w:p>
    <w:p w:rsidR="007166DA" w:rsidRPr="00DF58EF" w:rsidRDefault="00D53E1D" w:rsidP="00507296">
      <w:pPr>
        <w:spacing w:after="0" w:line="240" w:lineRule="auto"/>
        <w:jc w:val="both"/>
        <w:rPr>
          <w:rFonts w:asciiTheme="minorHAnsi" w:hAnsiTheme="minorHAnsi"/>
        </w:rPr>
      </w:pPr>
      <w:r w:rsidRPr="00D53E1D">
        <w:rPr>
          <w:rFonts w:asciiTheme="minorHAnsi" w:hAnsiTheme="minorHAnsi"/>
        </w:rPr>
        <w:t xml:space="preserve">De plus, </w:t>
      </w:r>
      <w:r>
        <w:rPr>
          <w:rFonts w:asciiTheme="minorHAnsi" w:hAnsiTheme="minorHAnsi"/>
        </w:rPr>
        <w:t xml:space="preserve">ces deux avenants prévoient, sous réserve de leur commercialisation en 2018, les objectifs et paramètres suivants pour deux molécules </w:t>
      </w:r>
      <w:r w:rsidR="00CC5A5A">
        <w:rPr>
          <w:rFonts w:asciiTheme="minorHAnsi" w:hAnsiTheme="minorHAnsi"/>
        </w:rPr>
        <w:t>représentant</w:t>
      </w:r>
      <w:r>
        <w:rPr>
          <w:rFonts w:asciiTheme="minorHAnsi" w:hAnsiTheme="minorHAnsi"/>
        </w:rPr>
        <w:t xml:space="preserve"> un </w:t>
      </w:r>
      <w:r w:rsidR="00CC5A5A">
        <w:rPr>
          <w:rFonts w:asciiTheme="minorHAnsi" w:hAnsiTheme="minorHAnsi"/>
        </w:rPr>
        <w:t xml:space="preserve">fort </w:t>
      </w:r>
      <w:r>
        <w:rPr>
          <w:rFonts w:asciiTheme="minorHAnsi" w:hAnsiTheme="minorHAnsi"/>
        </w:rPr>
        <w:t xml:space="preserve">potentiel d’économies : </w:t>
      </w:r>
    </w:p>
    <w:p w:rsidR="007166DA" w:rsidRDefault="007166DA" w:rsidP="00507296">
      <w:pPr>
        <w:spacing w:after="0" w:line="240" w:lineRule="auto"/>
        <w:jc w:val="both"/>
        <w:rPr>
          <w:rFonts w:asciiTheme="minorHAnsi" w:hAnsiTheme="minorHAnsi"/>
          <w:b/>
        </w:rPr>
      </w:pPr>
    </w:p>
    <w:tbl>
      <w:tblPr>
        <w:tblW w:w="10436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1022"/>
        <w:gridCol w:w="4099"/>
        <w:gridCol w:w="652"/>
        <w:gridCol w:w="737"/>
        <w:gridCol w:w="645"/>
        <w:gridCol w:w="645"/>
        <w:gridCol w:w="645"/>
        <w:gridCol w:w="1115"/>
      </w:tblGrid>
      <w:tr w:rsidR="0069757F" w:rsidRPr="0069757F" w:rsidTr="00CC5A5A">
        <w:trPr>
          <w:trHeight w:val="635"/>
        </w:trPr>
        <w:tc>
          <w:tcPr>
            <w:tcW w:w="803" w:type="dxa"/>
            <w:shd w:val="clear" w:color="auto" w:fill="auto"/>
            <w:vAlign w:val="center"/>
            <w:hideMark/>
          </w:tcPr>
          <w:p w:rsidR="0069757F" w:rsidRPr="002567A8" w:rsidRDefault="0069757F" w:rsidP="0069757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69757F">
              <w:rPr>
                <w:rFonts w:asciiTheme="minorHAnsi" w:eastAsia="Times New Roman" w:hAnsiTheme="minorHAnsi"/>
                <w:color w:val="2D2D2D"/>
                <w:lang w:eastAsia="fr-FR"/>
              </w:rPr>
              <w:t>Numéro</w:t>
            </w:r>
          </w:p>
        </w:tc>
        <w:tc>
          <w:tcPr>
            <w:tcW w:w="1023" w:type="dxa"/>
            <w:vAlign w:val="center"/>
          </w:tcPr>
          <w:p w:rsidR="0069757F" w:rsidRPr="0069757F" w:rsidRDefault="0069757F" w:rsidP="0069757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D2D2D"/>
                <w:lang w:eastAsia="fr-FR"/>
              </w:rPr>
            </w:pPr>
            <w:r w:rsidRPr="0069757F">
              <w:rPr>
                <w:rFonts w:asciiTheme="minorHAnsi" w:eastAsia="Times New Roman" w:hAnsiTheme="minorHAnsi"/>
                <w:color w:val="2D2D2D"/>
                <w:lang w:eastAsia="fr-FR"/>
              </w:rPr>
              <w:t>Objectif national et individuel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69757F" w:rsidRPr="002567A8" w:rsidRDefault="0069757F" w:rsidP="0069757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Indicateur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9757F" w:rsidRPr="002567A8" w:rsidRDefault="0069757F" w:rsidP="0069757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Seuil bas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9757F" w:rsidRPr="002567A8" w:rsidRDefault="0069757F" w:rsidP="0069757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Ta</w:t>
            </w:r>
            <w:r w:rsidRPr="0069757F">
              <w:rPr>
                <w:rFonts w:asciiTheme="minorHAnsi" w:eastAsia="Times New Roman" w:hAnsiTheme="minorHAnsi"/>
                <w:color w:val="2D2D2D"/>
                <w:lang w:eastAsia="fr-FR"/>
              </w:rPr>
              <w:t>ux de dépa</w:t>
            </w: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rt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9757F" w:rsidRPr="002567A8" w:rsidRDefault="0069757F" w:rsidP="0069757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Seuil inter.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9757F" w:rsidRPr="002567A8" w:rsidRDefault="0069757F" w:rsidP="0069757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Seuil inter. 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9757F" w:rsidRPr="002567A8" w:rsidRDefault="0069757F" w:rsidP="0069757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Seuil inter. 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9757F" w:rsidRPr="002567A8" w:rsidRDefault="0069757F" w:rsidP="0069757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fr-FR"/>
              </w:rPr>
            </w:pPr>
            <w:r w:rsidRPr="002567A8">
              <w:rPr>
                <w:rFonts w:asciiTheme="minorHAnsi" w:eastAsia="Times New Roman" w:hAnsiTheme="minorHAnsi"/>
                <w:color w:val="2D2D2D"/>
                <w:lang w:eastAsia="fr-FR"/>
              </w:rPr>
              <w:t>Economie potentielle</w:t>
            </w:r>
          </w:p>
        </w:tc>
      </w:tr>
      <w:tr w:rsidR="0069757F" w:rsidRPr="0069757F" w:rsidTr="00CC5A5A">
        <w:trPr>
          <w:trHeight w:val="256"/>
        </w:trPr>
        <w:tc>
          <w:tcPr>
            <w:tcW w:w="803" w:type="dxa"/>
            <w:shd w:val="clear" w:color="auto" w:fill="auto"/>
            <w:hideMark/>
          </w:tcPr>
          <w:p w:rsidR="0069757F" w:rsidRPr="00B22365" w:rsidRDefault="0069757F" w:rsidP="00880F0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D2D2D"/>
                <w:lang w:eastAsia="fr-FR"/>
              </w:rPr>
            </w:pPr>
            <w:r w:rsidRPr="00B22365">
              <w:rPr>
                <w:rFonts w:asciiTheme="minorHAnsi" w:eastAsia="Times New Roman" w:hAnsiTheme="minorHAnsi"/>
                <w:color w:val="2D2D2D"/>
                <w:lang w:eastAsia="fr-FR"/>
              </w:rPr>
              <w:t>1</w:t>
            </w:r>
          </w:p>
        </w:tc>
        <w:tc>
          <w:tcPr>
            <w:tcW w:w="1023" w:type="dxa"/>
          </w:tcPr>
          <w:p w:rsidR="0069757F" w:rsidRPr="0069757F" w:rsidRDefault="0069757F" w:rsidP="00880F0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D2D2D"/>
                <w:lang w:eastAsia="fr-FR"/>
              </w:rPr>
            </w:pPr>
            <w:r>
              <w:rPr>
                <w:rFonts w:asciiTheme="minorHAnsi" w:eastAsia="Times New Roman" w:hAnsiTheme="minorHAnsi"/>
                <w:color w:val="2D2D2D"/>
                <w:lang w:eastAsia="fr-FR"/>
              </w:rPr>
              <w:t>65 %</w:t>
            </w:r>
          </w:p>
        </w:tc>
        <w:tc>
          <w:tcPr>
            <w:tcW w:w="4367" w:type="dxa"/>
            <w:shd w:val="clear" w:color="auto" w:fill="auto"/>
            <w:hideMark/>
          </w:tcPr>
          <w:p w:rsidR="0069757F" w:rsidRPr="00CC5A5A" w:rsidRDefault="0069757F" w:rsidP="00880F0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D2D2D"/>
                <w:lang w:eastAsia="fr-FR"/>
              </w:rPr>
            </w:pPr>
            <w:r w:rsidRPr="00B22365">
              <w:rPr>
                <w:rFonts w:asciiTheme="minorHAnsi" w:eastAsia="Times New Roman" w:hAnsiTheme="minorHAnsi"/>
                <w:color w:val="2D2D2D"/>
                <w:lang w:eastAsia="fr-FR"/>
              </w:rPr>
              <w:t>EZETIMIBE</w:t>
            </w:r>
          </w:p>
        </w:tc>
        <w:tc>
          <w:tcPr>
            <w:tcW w:w="661" w:type="dxa"/>
            <w:shd w:val="clear" w:color="auto" w:fill="auto"/>
            <w:hideMark/>
          </w:tcPr>
          <w:p w:rsidR="0069757F" w:rsidRPr="00CC5A5A" w:rsidRDefault="0069757F" w:rsidP="00880F0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D2D2D"/>
                <w:lang w:eastAsia="fr-FR"/>
              </w:rPr>
            </w:pPr>
            <w:r w:rsidRPr="00B22365">
              <w:rPr>
                <w:rFonts w:asciiTheme="minorHAnsi" w:eastAsia="Times New Roman" w:hAnsiTheme="minorHAnsi"/>
                <w:color w:val="2D2D2D"/>
                <w:lang w:eastAsia="fr-FR"/>
              </w:rPr>
              <w:t>60</w:t>
            </w:r>
            <w:r w:rsidR="00CC5A5A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</w:t>
            </w:r>
            <w:r w:rsidRPr="00B22365">
              <w:rPr>
                <w:rFonts w:asciiTheme="minorHAnsi" w:eastAsia="Times New Roman" w:hAnsiTheme="minorHAnsi"/>
                <w:color w:val="2D2D2D"/>
                <w:lang w:eastAsia="fr-FR"/>
              </w:rPr>
              <w:t>%</w:t>
            </w:r>
          </w:p>
        </w:tc>
        <w:tc>
          <w:tcPr>
            <w:tcW w:w="647" w:type="dxa"/>
            <w:shd w:val="clear" w:color="auto" w:fill="auto"/>
            <w:hideMark/>
          </w:tcPr>
          <w:p w:rsidR="0069757F" w:rsidRPr="00CC5A5A" w:rsidRDefault="0069757F" w:rsidP="00880F0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D2D2D"/>
                <w:lang w:eastAsia="fr-FR"/>
              </w:rPr>
            </w:pPr>
            <w:r w:rsidRPr="00B22365">
              <w:rPr>
                <w:rFonts w:asciiTheme="minorHAnsi" w:eastAsia="Times New Roman" w:hAnsiTheme="minorHAnsi"/>
                <w:color w:val="2D2D2D"/>
                <w:lang w:eastAsia="fr-FR"/>
              </w:rPr>
              <w:t>65</w:t>
            </w:r>
            <w:r w:rsidR="00CC5A5A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</w:t>
            </w:r>
            <w:r w:rsidRPr="00B22365">
              <w:rPr>
                <w:rFonts w:asciiTheme="minorHAnsi" w:eastAsia="Times New Roman" w:hAnsiTheme="minorHAnsi"/>
                <w:color w:val="2D2D2D"/>
                <w:lang w:eastAsia="fr-FR"/>
              </w:rPr>
              <w:t>%</w:t>
            </w:r>
          </w:p>
        </w:tc>
        <w:tc>
          <w:tcPr>
            <w:tcW w:w="647" w:type="dxa"/>
            <w:shd w:val="clear" w:color="auto" w:fill="auto"/>
            <w:hideMark/>
          </w:tcPr>
          <w:p w:rsidR="0069757F" w:rsidRPr="00CC5A5A" w:rsidRDefault="0069757F" w:rsidP="00880F0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D2D2D"/>
                <w:lang w:eastAsia="fr-FR"/>
              </w:rPr>
            </w:pPr>
            <w:r w:rsidRPr="00B22365">
              <w:rPr>
                <w:rFonts w:asciiTheme="minorHAnsi" w:eastAsia="Times New Roman" w:hAnsiTheme="minorHAnsi"/>
                <w:color w:val="2D2D2D"/>
                <w:lang w:eastAsia="fr-FR"/>
              </w:rPr>
              <w:t>70</w:t>
            </w:r>
            <w:r w:rsidR="00CC5A5A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</w:t>
            </w:r>
            <w:r w:rsidRPr="00B22365">
              <w:rPr>
                <w:rFonts w:asciiTheme="minorHAnsi" w:eastAsia="Times New Roman" w:hAnsiTheme="minorHAnsi"/>
                <w:color w:val="2D2D2D"/>
                <w:lang w:eastAsia="fr-FR"/>
              </w:rPr>
              <w:t>%</w:t>
            </w:r>
          </w:p>
        </w:tc>
        <w:tc>
          <w:tcPr>
            <w:tcW w:w="647" w:type="dxa"/>
            <w:shd w:val="clear" w:color="auto" w:fill="auto"/>
            <w:hideMark/>
          </w:tcPr>
          <w:p w:rsidR="0069757F" w:rsidRPr="00CC5A5A" w:rsidRDefault="0069757F" w:rsidP="00880F0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D2D2D"/>
                <w:lang w:eastAsia="fr-FR"/>
              </w:rPr>
            </w:pPr>
            <w:r w:rsidRPr="00B22365">
              <w:rPr>
                <w:rFonts w:asciiTheme="minorHAnsi" w:eastAsia="Times New Roman" w:hAnsiTheme="minorHAnsi"/>
                <w:color w:val="2D2D2D"/>
                <w:lang w:eastAsia="fr-FR"/>
              </w:rPr>
              <w:t>75</w:t>
            </w:r>
            <w:r w:rsidR="00CC5A5A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</w:t>
            </w:r>
            <w:r w:rsidRPr="00B22365">
              <w:rPr>
                <w:rFonts w:asciiTheme="minorHAnsi" w:eastAsia="Times New Roman" w:hAnsiTheme="minorHAnsi"/>
                <w:color w:val="2D2D2D"/>
                <w:lang w:eastAsia="fr-FR"/>
              </w:rPr>
              <w:t>%</w:t>
            </w:r>
          </w:p>
        </w:tc>
        <w:tc>
          <w:tcPr>
            <w:tcW w:w="647" w:type="dxa"/>
            <w:shd w:val="clear" w:color="auto" w:fill="auto"/>
            <w:hideMark/>
          </w:tcPr>
          <w:p w:rsidR="0069757F" w:rsidRPr="00CC5A5A" w:rsidRDefault="0069757F" w:rsidP="00880F0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D2D2D"/>
                <w:lang w:eastAsia="fr-FR"/>
              </w:rPr>
            </w:pPr>
            <w:r w:rsidRPr="00B22365">
              <w:rPr>
                <w:rFonts w:asciiTheme="minorHAnsi" w:eastAsia="Times New Roman" w:hAnsiTheme="minorHAnsi"/>
                <w:color w:val="2D2D2D"/>
                <w:lang w:eastAsia="fr-FR"/>
              </w:rPr>
              <w:t>80</w:t>
            </w:r>
            <w:r w:rsidR="00CC5A5A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</w:t>
            </w:r>
            <w:r w:rsidRPr="00B22365">
              <w:rPr>
                <w:rFonts w:asciiTheme="minorHAnsi" w:eastAsia="Times New Roman" w:hAnsiTheme="minorHAnsi"/>
                <w:color w:val="2D2D2D"/>
                <w:lang w:eastAsia="fr-FR"/>
              </w:rPr>
              <w:t>%</w:t>
            </w:r>
          </w:p>
        </w:tc>
        <w:tc>
          <w:tcPr>
            <w:tcW w:w="994" w:type="dxa"/>
            <w:shd w:val="clear" w:color="auto" w:fill="auto"/>
            <w:hideMark/>
          </w:tcPr>
          <w:p w:rsidR="0069757F" w:rsidRPr="00CC5A5A" w:rsidRDefault="0069757F" w:rsidP="00880F0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D2D2D"/>
                <w:lang w:eastAsia="fr-FR"/>
              </w:rPr>
            </w:pPr>
            <w:r w:rsidRPr="00B22365">
              <w:rPr>
                <w:rFonts w:asciiTheme="minorHAnsi" w:eastAsia="Times New Roman" w:hAnsiTheme="minorHAnsi"/>
                <w:color w:val="2D2D2D"/>
                <w:lang w:eastAsia="fr-FR"/>
              </w:rPr>
              <w:t>20,2 M€</w:t>
            </w:r>
          </w:p>
        </w:tc>
      </w:tr>
      <w:tr w:rsidR="0069757F" w:rsidRPr="0069757F" w:rsidTr="00CC5A5A">
        <w:trPr>
          <w:trHeight w:val="256"/>
        </w:trPr>
        <w:tc>
          <w:tcPr>
            <w:tcW w:w="803" w:type="dxa"/>
            <w:shd w:val="clear" w:color="auto" w:fill="auto"/>
            <w:hideMark/>
          </w:tcPr>
          <w:p w:rsidR="0069757F" w:rsidRPr="00B22365" w:rsidRDefault="0069757F" w:rsidP="00880F0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D2D2D"/>
                <w:lang w:eastAsia="fr-FR"/>
              </w:rPr>
            </w:pPr>
            <w:r w:rsidRPr="00B22365">
              <w:rPr>
                <w:rFonts w:asciiTheme="minorHAnsi" w:eastAsia="Times New Roman" w:hAnsiTheme="minorHAnsi"/>
                <w:color w:val="2D2D2D"/>
                <w:lang w:eastAsia="fr-FR"/>
              </w:rPr>
              <w:t>2</w:t>
            </w:r>
          </w:p>
        </w:tc>
        <w:tc>
          <w:tcPr>
            <w:tcW w:w="1023" w:type="dxa"/>
          </w:tcPr>
          <w:p w:rsidR="0069757F" w:rsidRPr="0069757F" w:rsidRDefault="0069757F" w:rsidP="00880F0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D2D2D"/>
                <w:lang w:eastAsia="fr-FR"/>
              </w:rPr>
            </w:pPr>
            <w:r>
              <w:rPr>
                <w:rFonts w:asciiTheme="minorHAnsi" w:eastAsia="Times New Roman" w:hAnsiTheme="minorHAnsi"/>
                <w:color w:val="2D2D2D"/>
                <w:lang w:eastAsia="fr-FR"/>
              </w:rPr>
              <w:t>65 %</w:t>
            </w:r>
          </w:p>
        </w:tc>
        <w:tc>
          <w:tcPr>
            <w:tcW w:w="4367" w:type="dxa"/>
            <w:shd w:val="clear" w:color="auto" w:fill="auto"/>
            <w:hideMark/>
          </w:tcPr>
          <w:p w:rsidR="0069757F" w:rsidRPr="00CC5A5A" w:rsidRDefault="0069757F" w:rsidP="00880F0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D2D2D"/>
                <w:lang w:eastAsia="fr-FR"/>
              </w:rPr>
            </w:pPr>
            <w:r w:rsidRPr="00B22365">
              <w:rPr>
                <w:rFonts w:asciiTheme="minorHAnsi" w:eastAsia="Times New Roman" w:hAnsiTheme="minorHAnsi"/>
                <w:color w:val="2D2D2D"/>
                <w:lang w:eastAsia="fr-FR"/>
              </w:rPr>
              <w:t>EZETIMIBE  + SIMVASTATINE</w:t>
            </w:r>
          </w:p>
        </w:tc>
        <w:tc>
          <w:tcPr>
            <w:tcW w:w="661" w:type="dxa"/>
            <w:shd w:val="clear" w:color="auto" w:fill="auto"/>
            <w:hideMark/>
          </w:tcPr>
          <w:p w:rsidR="0069757F" w:rsidRPr="00CC5A5A" w:rsidRDefault="0069757F" w:rsidP="00880F0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D2D2D"/>
                <w:lang w:eastAsia="fr-FR"/>
              </w:rPr>
            </w:pPr>
            <w:r w:rsidRPr="00B22365">
              <w:rPr>
                <w:rFonts w:asciiTheme="minorHAnsi" w:eastAsia="Times New Roman" w:hAnsiTheme="minorHAnsi"/>
                <w:color w:val="2D2D2D"/>
                <w:lang w:eastAsia="fr-FR"/>
              </w:rPr>
              <w:t>60</w:t>
            </w:r>
            <w:r w:rsidR="00CC5A5A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</w:t>
            </w:r>
            <w:r w:rsidRPr="00B22365">
              <w:rPr>
                <w:rFonts w:asciiTheme="minorHAnsi" w:eastAsia="Times New Roman" w:hAnsiTheme="minorHAnsi"/>
                <w:color w:val="2D2D2D"/>
                <w:lang w:eastAsia="fr-FR"/>
              </w:rPr>
              <w:t>%</w:t>
            </w:r>
          </w:p>
        </w:tc>
        <w:tc>
          <w:tcPr>
            <w:tcW w:w="647" w:type="dxa"/>
            <w:shd w:val="clear" w:color="auto" w:fill="auto"/>
            <w:hideMark/>
          </w:tcPr>
          <w:p w:rsidR="0069757F" w:rsidRPr="00CC5A5A" w:rsidRDefault="0069757F" w:rsidP="00880F0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D2D2D"/>
                <w:lang w:eastAsia="fr-FR"/>
              </w:rPr>
            </w:pPr>
            <w:r w:rsidRPr="00B22365">
              <w:rPr>
                <w:rFonts w:asciiTheme="minorHAnsi" w:eastAsia="Times New Roman" w:hAnsiTheme="minorHAnsi"/>
                <w:color w:val="2D2D2D"/>
                <w:lang w:eastAsia="fr-FR"/>
              </w:rPr>
              <w:t>65</w:t>
            </w:r>
            <w:r w:rsidR="00CC5A5A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</w:t>
            </w:r>
            <w:r w:rsidRPr="00B22365">
              <w:rPr>
                <w:rFonts w:asciiTheme="minorHAnsi" w:eastAsia="Times New Roman" w:hAnsiTheme="minorHAnsi"/>
                <w:color w:val="2D2D2D"/>
                <w:lang w:eastAsia="fr-FR"/>
              </w:rPr>
              <w:t>%</w:t>
            </w:r>
          </w:p>
        </w:tc>
        <w:tc>
          <w:tcPr>
            <w:tcW w:w="647" w:type="dxa"/>
            <w:shd w:val="clear" w:color="auto" w:fill="auto"/>
            <w:hideMark/>
          </w:tcPr>
          <w:p w:rsidR="0069757F" w:rsidRPr="00CC5A5A" w:rsidRDefault="0069757F" w:rsidP="00880F0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D2D2D"/>
                <w:lang w:eastAsia="fr-FR"/>
              </w:rPr>
            </w:pPr>
            <w:r w:rsidRPr="00B22365">
              <w:rPr>
                <w:rFonts w:asciiTheme="minorHAnsi" w:eastAsia="Times New Roman" w:hAnsiTheme="minorHAnsi"/>
                <w:color w:val="2D2D2D"/>
                <w:lang w:eastAsia="fr-FR"/>
              </w:rPr>
              <w:t>70</w:t>
            </w:r>
            <w:r w:rsidR="00CC5A5A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</w:t>
            </w:r>
            <w:r w:rsidRPr="00B22365">
              <w:rPr>
                <w:rFonts w:asciiTheme="minorHAnsi" w:eastAsia="Times New Roman" w:hAnsiTheme="minorHAnsi"/>
                <w:color w:val="2D2D2D"/>
                <w:lang w:eastAsia="fr-FR"/>
              </w:rPr>
              <w:t>%</w:t>
            </w:r>
          </w:p>
        </w:tc>
        <w:tc>
          <w:tcPr>
            <w:tcW w:w="647" w:type="dxa"/>
            <w:shd w:val="clear" w:color="auto" w:fill="auto"/>
            <w:hideMark/>
          </w:tcPr>
          <w:p w:rsidR="0069757F" w:rsidRPr="00CC5A5A" w:rsidRDefault="0069757F" w:rsidP="00880F0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D2D2D"/>
                <w:lang w:eastAsia="fr-FR"/>
              </w:rPr>
            </w:pPr>
            <w:r w:rsidRPr="00B22365">
              <w:rPr>
                <w:rFonts w:asciiTheme="minorHAnsi" w:eastAsia="Times New Roman" w:hAnsiTheme="minorHAnsi"/>
                <w:color w:val="2D2D2D"/>
                <w:lang w:eastAsia="fr-FR"/>
              </w:rPr>
              <w:t>75</w:t>
            </w:r>
            <w:r w:rsidR="00CC5A5A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</w:t>
            </w:r>
            <w:r w:rsidRPr="00B22365">
              <w:rPr>
                <w:rFonts w:asciiTheme="minorHAnsi" w:eastAsia="Times New Roman" w:hAnsiTheme="minorHAnsi"/>
                <w:color w:val="2D2D2D"/>
                <w:lang w:eastAsia="fr-FR"/>
              </w:rPr>
              <w:t>%</w:t>
            </w:r>
          </w:p>
        </w:tc>
        <w:tc>
          <w:tcPr>
            <w:tcW w:w="647" w:type="dxa"/>
            <w:shd w:val="clear" w:color="auto" w:fill="auto"/>
            <w:hideMark/>
          </w:tcPr>
          <w:p w:rsidR="0069757F" w:rsidRPr="00CC5A5A" w:rsidRDefault="0069757F" w:rsidP="00880F0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D2D2D"/>
                <w:lang w:eastAsia="fr-FR"/>
              </w:rPr>
            </w:pPr>
            <w:r w:rsidRPr="00B22365">
              <w:rPr>
                <w:rFonts w:asciiTheme="minorHAnsi" w:eastAsia="Times New Roman" w:hAnsiTheme="minorHAnsi"/>
                <w:color w:val="2D2D2D"/>
                <w:lang w:eastAsia="fr-FR"/>
              </w:rPr>
              <w:t>80</w:t>
            </w:r>
            <w:r w:rsidR="00CC5A5A">
              <w:rPr>
                <w:rFonts w:asciiTheme="minorHAnsi" w:eastAsia="Times New Roman" w:hAnsiTheme="minorHAnsi"/>
                <w:color w:val="2D2D2D"/>
                <w:lang w:eastAsia="fr-FR"/>
              </w:rPr>
              <w:t xml:space="preserve"> </w:t>
            </w:r>
            <w:r w:rsidRPr="00B22365">
              <w:rPr>
                <w:rFonts w:asciiTheme="minorHAnsi" w:eastAsia="Times New Roman" w:hAnsiTheme="minorHAnsi"/>
                <w:color w:val="2D2D2D"/>
                <w:lang w:eastAsia="fr-FR"/>
              </w:rPr>
              <w:t>%</w:t>
            </w:r>
          </w:p>
        </w:tc>
        <w:tc>
          <w:tcPr>
            <w:tcW w:w="994" w:type="dxa"/>
            <w:shd w:val="clear" w:color="auto" w:fill="auto"/>
            <w:hideMark/>
          </w:tcPr>
          <w:p w:rsidR="0069757F" w:rsidRPr="00CC5A5A" w:rsidRDefault="0069757F" w:rsidP="00880F0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D2D2D"/>
                <w:lang w:eastAsia="fr-FR"/>
              </w:rPr>
            </w:pPr>
            <w:r w:rsidRPr="00B22365">
              <w:rPr>
                <w:rFonts w:asciiTheme="minorHAnsi" w:eastAsia="Times New Roman" w:hAnsiTheme="minorHAnsi"/>
                <w:color w:val="2D2D2D"/>
                <w:lang w:eastAsia="fr-FR"/>
              </w:rPr>
              <w:t>24,9 M€</w:t>
            </w:r>
          </w:p>
        </w:tc>
      </w:tr>
    </w:tbl>
    <w:p w:rsidR="000708DE" w:rsidRDefault="000708DE" w:rsidP="00507296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62F71" w:rsidRDefault="005A62E0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Pour </w:t>
      </w:r>
      <w:r w:rsidR="00CC5A5A">
        <w:rPr>
          <w:rFonts w:asciiTheme="minorHAnsi" w:hAnsiTheme="minorHAnsi"/>
        </w:rPr>
        <w:t>la majorité des 20 indicateurs</w:t>
      </w:r>
      <w:r w:rsidR="00C673B7">
        <w:rPr>
          <w:rFonts w:asciiTheme="minorHAnsi" w:hAnsiTheme="minorHAnsi"/>
        </w:rPr>
        <w:t>,</w:t>
      </w:r>
      <w:r w:rsidR="00CC5A5A">
        <w:rPr>
          <w:rFonts w:asciiTheme="minorHAnsi" w:hAnsiTheme="minorHAnsi"/>
        </w:rPr>
        <w:t xml:space="preserve"> </w:t>
      </w:r>
      <w:r w:rsidR="00CC5A5A" w:rsidRPr="00CC5A5A">
        <w:rPr>
          <w:rFonts w:asciiTheme="minorHAnsi" w:hAnsiTheme="minorHAnsi"/>
        </w:rPr>
        <w:t>l</w:t>
      </w:r>
      <w:r>
        <w:rPr>
          <w:rFonts w:asciiTheme="minorHAnsi" w:hAnsiTheme="minorHAnsi"/>
        </w:rPr>
        <w:t>’ensemble d</w:t>
      </w:r>
      <w:r w:rsidR="00CC5A5A" w:rsidRPr="00CC5A5A">
        <w:rPr>
          <w:rFonts w:asciiTheme="minorHAnsi" w:hAnsiTheme="minorHAnsi"/>
        </w:rPr>
        <w:t xml:space="preserve">es seuils bas et intermédiaires </w:t>
      </w:r>
      <w:r w:rsidR="00136C0D">
        <w:rPr>
          <w:rFonts w:asciiTheme="minorHAnsi" w:hAnsiTheme="minorHAnsi"/>
        </w:rPr>
        <w:t>a été revu</w:t>
      </w:r>
      <w:r w:rsidR="00CC5A5A">
        <w:rPr>
          <w:rFonts w:asciiTheme="minorHAnsi" w:hAnsiTheme="minorHAnsi"/>
        </w:rPr>
        <w:t xml:space="preserve"> à la hausse par rapport </w:t>
      </w:r>
      <w:r>
        <w:rPr>
          <w:rFonts w:asciiTheme="minorHAnsi" w:hAnsiTheme="minorHAnsi"/>
        </w:rPr>
        <w:t>à l’</w:t>
      </w:r>
      <w:r w:rsidR="00CC5A5A">
        <w:rPr>
          <w:rFonts w:asciiTheme="minorHAnsi" w:hAnsiTheme="minorHAnsi"/>
        </w:rPr>
        <w:t xml:space="preserve">année </w:t>
      </w:r>
      <w:r>
        <w:rPr>
          <w:rFonts w:asciiTheme="minorHAnsi" w:hAnsiTheme="minorHAnsi"/>
        </w:rPr>
        <w:t>dernière</w:t>
      </w:r>
      <w:r w:rsidR="00CC5A5A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Seule </w:t>
      </w:r>
      <w:r w:rsidR="00CC5A5A">
        <w:rPr>
          <w:rFonts w:asciiTheme="minorHAnsi" w:hAnsiTheme="minorHAnsi"/>
        </w:rPr>
        <w:t xml:space="preserve">l’oxycodone, qui est une molécule </w:t>
      </w:r>
      <w:r>
        <w:rPr>
          <w:rFonts w:asciiTheme="minorHAnsi" w:hAnsiTheme="minorHAnsi"/>
        </w:rPr>
        <w:t xml:space="preserve">plus </w:t>
      </w:r>
      <w:r w:rsidR="00CC5A5A">
        <w:rPr>
          <w:rFonts w:asciiTheme="minorHAnsi" w:hAnsiTheme="minorHAnsi"/>
        </w:rPr>
        <w:t>difficile à substituer</w:t>
      </w:r>
      <w:r w:rsidR="00D07B3C">
        <w:rPr>
          <w:rFonts w:asciiTheme="minorHAnsi" w:hAnsiTheme="minorHAnsi"/>
        </w:rPr>
        <w:t>,</w:t>
      </w:r>
      <w:r w:rsidR="00BE434E">
        <w:rPr>
          <w:rFonts w:asciiTheme="minorHAnsi" w:hAnsiTheme="minorHAnsi"/>
        </w:rPr>
        <w:t xml:space="preserve"> </w:t>
      </w:r>
      <w:r w:rsidR="0070547F">
        <w:rPr>
          <w:rFonts w:asciiTheme="minorHAnsi" w:hAnsiTheme="minorHAnsi"/>
        </w:rPr>
        <w:t>b</w:t>
      </w:r>
      <w:r w:rsidR="00BE434E">
        <w:rPr>
          <w:rFonts w:asciiTheme="minorHAnsi" w:hAnsiTheme="minorHAnsi"/>
        </w:rPr>
        <w:t>énéficie de taux particulièrement bas</w:t>
      </w:r>
    </w:p>
    <w:p w:rsidR="00962F71" w:rsidRDefault="00962F71" w:rsidP="00CC5A5A">
      <w:pPr>
        <w:spacing w:after="0" w:line="240" w:lineRule="auto"/>
        <w:jc w:val="both"/>
        <w:rPr>
          <w:rFonts w:asciiTheme="minorHAnsi" w:hAnsiTheme="minorHAnsi"/>
        </w:rPr>
      </w:pPr>
    </w:p>
    <w:p w:rsidR="00BE434E" w:rsidRDefault="00136C0D" w:rsidP="007A7816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Outre </w:t>
      </w:r>
      <w:r w:rsidR="00BE434E">
        <w:rPr>
          <w:rFonts w:asciiTheme="minorHAnsi" w:hAnsiTheme="minorHAnsi"/>
        </w:rPr>
        <w:t>l’augmentation de ces seuils,</w:t>
      </w:r>
      <w:r w:rsidR="00850752" w:rsidRPr="007A7816">
        <w:rPr>
          <w:rFonts w:asciiTheme="minorHAnsi" w:hAnsiTheme="minorHAnsi"/>
        </w:rPr>
        <w:t xml:space="preserve"> les signataires de l’avenant n° 13 </w:t>
      </w:r>
      <w:r w:rsidR="007A7816" w:rsidRPr="007A7816">
        <w:rPr>
          <w:rFonts w:asciiTheme="minorHAnsi" w:hAnsiTheme="minorHAnsi"/>
        </w:rPr>
        <w:t xml:space="preserve">ont </w:t>
      </w:r>
      <w:r w:rsidR="00BE434E">
        <w:rPr>
          <w:rFonts w:asciiTheme="minorHAnsi" w:hAnsiTheme="minorHAnsi"/>
        </w:rPr>
        <w:t xml:space="preserve">réduit le coefficient de redistribution </w:t>
      </w:r>
      <w:r w:rsidR="008F5F3B">
        <w:rPr>
          <w:rFonts w:asciiTheme="minorHAnsi" w:hAnsiTheme="minorHAnsi"/>
        </w:rPr>
        <w:t xml:space="preserve">à destination des officinaux </w:t>
      </w:r>
      <w:r w:rsidR="00BE434E">
        <w:rPr>
          <w:rFonts w:asciiTheme="minorHAnsi" w:hAnsiTheme="minorHAnsi"/>
        </w:rPr>
        <w:t>de 0,60 à 0,58</w:t>
      </w:r>
      <w:r w:rsidR="00D07B3C">
        <w:rPr>
          <w:rFonts w:asciiTheme="minorHAnsi" w:hAnsiTheme="minorHAnsi"/>
        </w:rPr>
        <w:t>.</w:t>
      </w:r>
    </w:p>
    <w:p w:rsidR="00BE434E" w:rsidRDefault="00BE434E" w:rsidP="007A7816">
      <w:pPr>
        <w:spacing w:after="0" w:line="240" w:lineRule="auto"/>
        <w:jc w:val="both"/>
        <w:rPr>
          <w:rFonts w:asciiTheme="minorHAnsi" w:hAnsiTheme="minorHAnsi"/>
        </w:rPr>
      </w:pPr>
    </w:p>
    <w:p w:rsidR="00170B98" w:rsidRDefault="00D07B3C" w:rsidP="007A7816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conséquence, selon </w:t>
      </w:r>
      <w:r w:rsidR="00BE434E">
        <w:rPr>
          <w:rFonts w:asciiTheme="minorHAnsi" w:hAnsiTheme="minorHAnsi"/>
        </w:rPr>
        <w:t xml:space="preserve">les </w:t>
      </w:r>
      <w:r>
        <w:rPr>
          <w:rFonts w:asciiTheme="minorHAnsi" w:hAnsiTheme="minorHAnsi"/>
        </w:rPr>
        <w:t>nouveaux</w:t>
      </w:r>
      <w:r w:rsidR="008F5F3B">
        <w:rPr>
          <w:rFonts w:asciiTheme="minorHAnsi" w:hAnsiTheme="minorHAnsi"/>
        </w:rPr>
        <w:t xml:space="preserve"> mécanismes prévus par cet avenant le montant de la </w:t>
      </w:r>
      <w:r w:rsidR="00170B98" w:rsidRPr="00170B98">
        <w:rPr>
          <w:rFonts w:asciiTheme="minorHAnsi" w:hAnsiTheme="minorHAnsi"/>
        </w:rPr>
        <w:t>ROSP</w:t>
      </w:r>
      <w:r w:rsidR="008F5F3B">
        <w:rPr>
          <w:rFonts w:asciiTheme="minorHAnsi" w:hAnsiTheme="minorHAnsi"/>
        </w:rPr>
        <w:t xml:space="preserve"> est calculé de la façon suivante</w:t>
      </w:r>
      <w:r w:rsidR="00170B98" w:rsidRPr="00170B98">
        <w:rPr>
          <w:rFonts w:asciiTheme="minorHAnsi" w:hAnsiTheme="minorHAnsi"/>
        </w:rPr>
        <w:t> :</w:t>
      </w:r>
    </w:p>
    <w:p w:rsidR="007A7816" w:rsidRPr="00170B98" w:rsidRDefault="007A7816" w:rsidP="007A7816">
      <w:pPr>
        <w:spacing w:after="0" w:line="240" w:lineRule="auto"/>
        <w:jc w:val="both"/>
        <w:rPr>
          <w:rFonts w:asciiTheme="minorHAnsi" w:hAnsiTheme="minorHAnsi"/>
        </w:rPr>
      </w:pPr>
    </w:p>
    <w:p w:rsidR="00962F71" w:rsidRPr="007A7816" w:rsidRDefault="00170B98" w:rsidP="007A781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bCs/>
        </w:rPr>
      </w:pPr>
      <w:r w:rsidRPr="007A7816">
        <w:rPr>
          <w:rFonts w:asciiTheme="minorHAnsi" w:hAnsiTheme="minorHAnsi"/>
        </w:rPr>
        <w:t xml:space="preserve">si pour </w:t>
      </w:r>
      <w:r w:rsidR="00136C0D">
        <w:rPr>
          <w:rFonts w:asciiTheme="minorHAnsi" w:hAnsiTheme="minorHAnsi"/>
        </w:rPr>
        <w:t>une molécule donnée, votre</w:t>
      </w:r>
      <w:r w:rsidR="00DA032D">
        <w:rPr>
          <w:rFonts w:asciiTheme="minorHAnsi" w:hAnsiTheme="minorHAnsi"/>
        </w:rPr>
        <w:t xml:space="preserve"> taux de substitution </w:t>
      </w:r>
      <w:r w:rsidRPr="007A7816">
        <w:rPr>
          <w:rFonts w:asciiTheme="minorHAnsi" w:hAnsiTheme="minorHAnsi"/>
        </w:rPr>
        <w:t>est</w:t>
      </w:r>
      <w:r w:rsidR="00136C0D">
        <w:rPr>
          <w:rFonts w:asciiTheme="minorHAnsi" w:hAnsiTheme="minorHAnsi"/>
        </w:rPr>
        <w:t xml:space="preserve"> inférieur au</w:t>
      </w:r>
      <w:r w:rsidR="00962F71" w:rsidRPr="007A7816">
        <w:rPr>
          <w:rFonts w:asciiTheme="minorHAnsi" w:hAnsiTheme="minorHAnsi"/>
          <w:b/>
          <w:bCs/>
        </w:rPr>
        <w:t xml:space="preserve"> seuil bas</w:t>
      </w:r>
      <w:r w:rsidR="00C673B7">
        <w:rPr>
          <w:rFonts w:asciiTheme="minorHAnsi" w:hAnsiTheme="minorHAnsi"/>
          <w:b/>
          <w:bCs/>
        </w:rPr>
        <w:t>,</w:t>
      </w:r>
      <w:r w:rsidR="00DA032D">
        <w:rPr>
          <w:rFonts w:asciiTheme="minorHAnsi" w:hAnsiTheme="minorHAnsi"/>
        </w:rPr>
        <w:t xml:space="preserve"> </w:t>
      </w:r>
      <w:r w:rsidR="00962F71" w:rsidRPr="007A7816">
        <w:rPr>
          <w:rFonts w:asciiTheme="minorHAnsi" w:hAnsiTheme="minorHAnsi"/>
        </w:rPr>
        <w:t xml:space="preserve">le montant de </w:t>
      </w:r>
      <w:r w:rsidRPr="007A7816">
        <w:rPr>
          <w:rFonts w:asciiTheme="minorHAnsi" w:hAnsiTheme="minorHAnsi"/>
        </w:rPr>
        <w:t xml:space="preserve">la ROSP versé au titre de cette molécule est </w:t>
      </w:r>
      <w:r w:rsidRPr="00DA032D">
        <w:rPr>
          <w:rFonts w:asciiTheme="minorHAnsi" w:hAnsiTheme="minorHAnsi"/>
          <w:b/>
        </w:rPr>
        <w:t>nul</w:t>
      </w:r>
      <w:r w:rsidRPr="007A7816">
        <w:rPr>
          <w:rFonts w:asciiTheme="minorHAnsi" w:hAnsiTheme="minorHAnsi"/>
        </w:rPr>
        <w:t> ;</w:t>
      </w:r>
    </w:p>
    <w:p w:rsidR="007A7816" w:rsidRPr="007A7816" w:rsidRDefault="007A7816" w:rsidP="007A7816">
      <w:pPr>
        <w:pStyle w:val="Paragraphedeliste"/>
        <w:spacing w:after="0" w:line="240" w:lineRule="auto"/>
        <w:ind w:left="775"/>
        <w:jc w:val="both"/>
        <w:rPr>
          <w:rFonts w:asciiTheme="minorHAnsi" w:hAnsiTheme="minorHAnsi"/>
          <w:b/>
          <w:bCs/>
        </w:rPr>
      </w:pPr>
    </w:p>
    <w:p w:rsidR="00962F71" w:rsidRPr="00A961D8" w:rsidRDefault="00EA2CE3" w:rsidP="00E34BF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A961D8">
        <w:rPr>
          <w:rFonts w:asciiTheme="minorHAnsi" w:hAnsiTheme="minorHAnsi"/>
        </w:rPr>
        <w:t xml:space="preserve">si pour un autre indicateur, </w:t>
      </w:r>
      <w:r w:rsidR="00136C0D">
        <w:rPr>
          <w:rFonts w:asciiTheme="minorHAnsi" w:hAnsiTheme="minorHAnsi"/>
        </w:rPr>
        <w:t>votre</w:t>
      </w:r>
      <w:r w:rsidR="00962F71" w:rsidRPr="00A961D8">
        <w:rPr>
          <w:rFonts w:asciiTheme="minorHAnsi" w:hAnsiTheme="minorHAnsi"/>
        </w:rPr>
        <w:t xml:space="preserve"> taux de substitution est </w:t>
      </w:r>
      <w:r w:rsidR="00962F71" w:rsidRPr="00A961D8">
        <w:rPr>
          <w:rFonts w:asciiTheme="minorHAnsi" w:hAnsiTheme="minorHAnsi"/>
          <w:b/>
          <w:bCs/>
        </w:rPr>
        <w:t>compris entre le seuil bas et le premier seuil intermédiaire</w:t>
      </w:r>
      <w:r w:rsidRPr="00A961D8">
        <w:rPr>
          <w:rFonts w:asciiTheme="minorHAnsi" w:hAnsiTheme="minorHAnsi"/>
          <w:b/>
          <w:bCs/>
        </w:rPr>
        <w:t xml:space="preserve">, il faut impérativement que </w:t>
      </w:r>
      <w:r w:rsidR="00BE434E" w:rsidRPr="00A961D8">
        <w:rPr>
          <w:rFonts w:asciiTheme="minorHAnsi" w:hAnsiTheme="minorHAnsi"/>
          <w:b/>
          <w:bCs/>
        </w:rPr>
        <w:t xml:space="preserve">votre </w:t>
      </w:r>
      <w:r w:rsidRPr="00A961D8">
        <w:rPr>
          <w:rFonts w:asciiTheme="minorHAnsi" w:hAnsiTheme="minorHAnsi"/>
          <w:b/>
          <w:bCs/>
        </w:rPr>
        <w:t xml:space="preserve">taux soit </w:t>
      </w:r>
      <w:r w:rsidR="00962F71" w:rsidRPr="00A961D8">
        <w:rPr>
          <w:rFonts w:asciiTheme="minorHAnsi" w:hAnsiTheme="minorHAnsi"/>
          <w:b/>
          <w:bCs/>
        </w:rPr>
        <w:t>en progression</w:t>
      </w:r>
      <w:r w:rsidR="00962F71" w:rsidRPr="00A961D8">
        <w:rPr>
          <w:rFonts w:asciiTheme="minorHAnsi" w:hAnsiTheme="minorHAnsi"/>
        </w:rPr>
        <w:t xml:space="preserve"> par rapport à l’année précédente pour obtenir au maxim</w:t>
      </w:r>
      <w:r w:rsidRPr="00A961D8">
        <w:rPr>
          <w:rFonts w:asciiTheme="minorHAnsi" w:hAnsiTheme="minorHAnsi"/>
        </w:rPr>
        <w:t xml:space="preserve">um 56 % </w:t>
      </w:r>
      <w:r w:rsidRPr="00A961D8">
        <w:rPr>
          <w:rFonts w:asciiTheme="minorHAnsi" w:hAnsiTheme="minorHAnsi"/>
        </w:rPr>
        <w:lastRenderedPageBreak/>
        <w:t>de la ROSP redistribuée, contre</w:t>
      </w:r>
      <w:r w:rsidR="00962F71" w:rsidRPr="00A961D8">
        <w:rPr>
          <w:rFonts w:asciiTheme="minorHAnsi" w:hAnsiTheme="minorHAnsi"/>
          <w:b/>
          <w:iCs/>
          <w:color w:val="FF0000"/>
        </w:rPr>
        <w:t xml:space="preserve"> </w:t>
      </w:r>
      <w:r w:rsidR="00962F71" w:rsidRPr="00A961D8">
        <w:rPr>
          <w:rFonts w:asciiTheme="minorHAnsi" w:hAnsiTheme="minorHAnsi"/>
          <w:b/>
          <w:iCs/>
        </w:rPr>
        <w:t>58</w:t>
      </w:r>
      <w:r w:rsidRPr="00A961D8">
        <w:rPr>
          <w:rFonts w:asciiTheme="minorHAnsi" w:hAnsiTheme="minorHAnsi"/>
          <w:b/>
          <w:iCs/>
        </w:rPr>
        <w:t xml:space="preserve"> </w:t>
      </w:r>
      <w:r w:rsidR="00962F71" w:rsidRPr="00A961D8">
        <w:rPr>
          <w:rFonts w:asciiTheme="minorHAnsi" w:hAnsiTheme="minorHAnsi"/>
          <w:b/>
          <w:iCs/>
        </w:rPr>
        <w:t>% en 2017</w:t>
      </w:r>
      <w:r w:rsidR="00136C0D">
        <w:rPr>
          <w:rFonts w:asciiTheme="minorHAnsi" w:hAnsiTheme="minorHAnsi"/>
          <w:iCs/>
        </w:rPr>
        <w:t xml:space="preserve"> ; en revanche, </w:t>
      </w:r>
      <w:r w:rsidR="008F5F3B" w:rsidRPr="00A961D8">
        <w:rPr>
          <w:rFonts w:asciiTheme="minorHAnsi" w:hAnsiTheme="minorHAnsi"/>
          <w:iCs/>
        </w:rPr>
        <w:t xml:space="preserve">si le taux de substitution diminue, </w:t>
      </w:r>
      <w:r w:rsidR="00817FA7" w:rsidRPr="00A961D8">
        <w:rPr>
          <w:rFonts w:asciiTheme="minorHAnsi" w:hAnsiTheme="minorHAnsi"/>
          <w:iCs/>
        </w:rPr>
        <w:t xml:space="preserve">le montant de la ROSP associée sera </w:t>
      </w:r>
      <w:r w:rsidR="0070547F" w:rsidRPr="00A961D8">
        <w:rPr>
          <w:rFonts w:asciiTheme="minorHAnsi" w:hAnsiTheme="minorHAnsi"/>
          <w:iCs/>
        </w:rPr>
        <w:t>nul</w:t>
      </w:r>
      <w:r w:rsidR="00817FA7" w:rsidRPr="00A961D8">
        <w:rPr>
          <w:rFonts w:asciiTheme="minorHAnsi" w:hAnsiTheme="minorHAnsi"/>
          <w:iCs/>
        </w:rPr>
        <w:t> ;</w:t>
      </w:r>
    </w:p>
    <w:p w:rsidR="00817FA7" w:rsidRDefault="00817FA7" w:rsidP="00817FA7">
      <w:pPr>
        <w:pStyle w:val="Paragraphedeliste"/>
        <w:spacing w:after="0" w:line="240" w:lineRule="auto"/>
        <w:ind w:left="775"/>
        <w:jc w:val="both"/>
        <w:rPr>
          <w:rFonts w:asciiTheme="minorHAnsi" w:hAnsiTheme="minorHAnsi"/>
        </w:rPr>
      </w:pPr>
    </w:p>
    <w:p w:rsidR="003E2EB9" w:rsidRPr="003E2EB9" w:rsidRDefault="00EA2CE3" w:rsidP="003E2EB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3E2EB9">
        <w:rPr>
          <w:rFonts w:asciiTheme="minorHAnsi" w:hAnsiTheme="minorHAnsi"/>
        </w:rPr>
        <w:t xml:space="preserve">si pour une molécule, </w:t>
      </w:r>
      <w:r w:rsidR="00136C0D">
        <w:rPr>
          <w:rFonts w:asciiTheme="minorHAnsi" w:hAnsiTheme="minorHAnsi"/>
          <w:b/>
        </w:rPr>
        <w:t>votre</w:t>
      </w:r>
      <w:r w:rsidR="00962F71" w:rsidRPr="003E2EB9">
        <w:rPr>
          <w:rFonts w:asciiTheme="minorHAnsi" w:hAnsiTheme="minorHAnsi"/>
          <w:b/>
        </w:rPr>
        <w:t xml:space="preserve"> taux de substitution</w:t>
      </w:r>
      <w:r w:rsidR="007A7816" w:rsidRPr="003E2EB9">
        <w:rPr>
          <w:rFonts w:asciiTheme="minorHAnsi" w:hAnsiTheme="minorHAnsi"/>
          <w:b/>
        </w:rPr>
        <w:t xml:space="preserve"> </w:t>
      </w:r>
      <w:r w:rsidR="00BE434E">
        <w:rPr>
          <w:rFonts w:asciiTheme="minorHAnsi" w:hAnsiTheme="minorHAnsi"/>
          <w:b/>
        </w:rPr>
        <w:t xml:space="preserve">est compris entre le </w:t>
      </w:r>
      <w:r w:rsidR="00962F71" w:rsidRPr="003E2EB9">
        <w:rPr>
          <w:rFonts w:asciiTheme="minorHAnsi" w:hAnsiTheme="minorHAnsi"/>
          <w:b/>
        </w:rPr>
        <w:t xml:space="preserve">premier </w:t>
      </w:r>
      <w:r w:rsidR="00BE434E">
        <w:rPr>
          <w:rFonts w:asciiTheme="minorHAnsi" w:hAnsiTheme="minorHAnsi"/>
          <w:b/>
        </w:rPr>
        <w:t xml:space="preserve">et le deuxième </w:t>
      </w:r>
      <w:r w:rsidR="00962F71" w:rsidRPr="003E2EB9">
        <w:rPr>
          <w:rFonts w:asciiTheme="minorHAnsi" w:hAnsiTheme="minorHAnsi"/>
          <w:b/>
        </w:rPr>
        <w:t>seuil intermédiaire</w:t>
      </w:r>
      <w:r w:rsidRPr="003E2EB9">
        <w:rPr>
          <w:rFonts w:asciiTheme="minorHAnsi" w:hAnsiTheme="minorHAnsi"/>
        </w:rPr>
        <w:t xml:space="preserve">, le montant de votre </w:t>
      </w:r>
      <w:r w:rsidR="007166DA" w:rsidRPr="003E2EB9">
        <w:rPr>
          <w:rFonts w:asciiTheme="minorHAnsi" w:hAnsiTheme="minorHAnsi"/>
        </w:rPr>
        <w:t>ROSP</w:t>
      </w:r>
      <w:r w:rsidRPr="003E2EB9">
        <w:rPr>
          <w:rFonts w:asciiTheme="minorHAnsi" w:hAnsiTheme="minorHAnsi"/>
        </w:rPr>
        <w:t xml:space="preserve"> </w:t>
      </w:r>
      <w:r w:rsidR="00BE434E">
        <w:rPr>
          <w:rFonts w:asciiTheme="minorHAnsi" w:hAnsiTheme="minorHAnsi"/>
        </w:rPr>
        <w:t>sera</w:t>
      </w:r>
      <w:r w:rsidR="00BE434E" w:rsidRPr="003E2EB9">
        <w:rPr>
          <w:rFonts w:asciiTheme="minorHAnsi" w:hAnsiTheme="minorHAnsi"/>
        </w:rPr>
        <w:t xml:space="preserve"> </w:t>
      </w:r>
      <w:r w:rsidRPr="003E2EB9">
        <w:rPr>
          <w:rFonts w:asciiTheme="minorHAnsi" w:hAnsiTheme="minorHAnsi"/>
        </w:rPr>
        <w:t>compris</w:t>
      </w:r>
      <w:r w:rsidR="00962F71" w:rsidRPr="003E2EB9">
        <w:rPr>
          <w:rFonts w:asciiTheme="minorHAnsi" w:hAnsiTheme="minorHAnsi"/>
        </w:rPr>
        <w:t xml:space="preserve"> entre 56</w:t>
      </w:r>
      <w:r w:rsidRPr="003E2EB9">
        <w:rPr>
          <w:rFonts w:asciiTheme="minorHAnsi" w:hAnsiTheme="minorHAnsi"/>
        </w:rPr>
        <w:t xml:space="preserve"> </w:t>
      </w:r>
      <w:r w:rsidR="00962F71" w:rsidRPr="003E2EB9">
        <w:rPr>
          <w:rFonts w:asciiTheme="minorHAnsi" w:hAnsiTheme="minorHAnsi"/>
        </w:rPr>
        <w:t>% et 73</w:t>
      </w:r>
      <w:r w:rsidRPr="003E2EB9">
        <w:rPr>
          <w:rFonts w:asciiTheme="minorHAnsi" w:hAnsiTheme="minorHAnsi"/>
        </w:rPr>
        <w:t xml:space="preserve"> </w:t>
      </w:r>
      <w:r w:rsidR="007166DA" w:rsidRPr="003E2EB9">
        <w:rPr>
          <w:rFonts w:asciiTheme="minorHAnsi" w:hAnsiTheme="minorHAnsi"/>
        </w:rPr>
        <w:t xml:space="preserve">% de la rémunération totale redistribuée. </w:t>
      </w:r>
      <w:r w:rsidR="007A7816" w:rsidRPr="003E2EB9">
        <w:rPr>
          <w:rFonts w:asciiTheme="minorHAnsi" w:hAnsiTheme="minorHAnsi"/>
        </w:rPr>
        <w:t xml:space="preserve"> En 2017, </w:t>
      </w:r>
      <w:r w:rsidR="007A7816" w:rsidRPr="003E2EB9">
        <w:rPr>
          <w:rFonts w:asciiTheme="minorHAnsi" w:hAnsiTheme="minorHAnsi"/>
          <w:b/>
        </w:rPr>
        <w:t xml:space="preserve">les pourcentages variaient entre </w:t>
      </w:r>
      <w:r w:rsidR="00962F71" w:rsidRPr="003E2EB9">
        <w:rPr>
          <w:rFonts w:asciiTheme="minorHAnsi" w:hAnsiTheme="minorHAnsi"/>
          <w:b/>
          <w:iCs/>
        </w:rPr>
        <w:t>58</w:t>
      </w:r>
      <w:r w:rsidR="007A7816" w:rsidRPr="003E2EB9">
        <w:rPr>
          <w:rFonts w:asciiTheme="minorHAnsi" w:hAnsiTheme="minorHAnsi"/>
          <w:b/>
          <w:iCs/>
        </w:rPr>
        <w:t xml:space="preserve"> % et </w:t>
      </w:r>
      <w:r w:rsidR="00962F71" w:rsidRPr="003E2EB9">
        <w:rPr>
          <w:rFonts w:asciiTheme="minorHAnsi" w:hAnsiTheme="minorHAnsi"/>
          <w:b/>
          <w:iCs/>
        </w:rPr>
        <w:t>75</w:t>
      </w:r>
      <w:r w:rsidR="007A7816" w:rsidRPr="003E2EB9">
        <w:rPr>
          <w:rFonts w:asciiTheme="minorHAnsi" w:hAnsiTheme="minorHAnsi"/>
          <w:b/>
          <w:iCs/>
        </w:rPr>
        <w:t xml:space="preserve"> %</w:t>
      </w:r>
      <w:r w:rsidR="003E2EB9">
        <w:rPr>
          <w:rFonts w:asciiTheme="minorHAnsi" w:hAnsiTheme="minorHAnsi"/>
          <w:b/>
          <w:iCs/>
        </w:rPr>
        <w:t> ;</w:t>
      </w:r>
    </w:p>
    <w:p w:rsidR="003E2EB9" w:rsidRPr="003E2EB9" w:rsidRDefault="003E2EB9" w:rsidP="003E2EB9">
      <w:pPr>
        <w:pStyle w:val="Paragraphedeliste"/>
        <w:spacing w:after="0" w:line="240" w:lineRule="auto"/>
        <w:ind w:left="775"/>
        <w:jc w:val="both"/>
        <w:rPr>
          <w:rFonts w:asciiTheme="minorHAnsi" w:hAnsiTheme="minorHAnsi"/>
        </w:rPr>
      </w:pPr>
    </w:p>
    <w:p w:rsidR="00962F71" w:rsidRDefault="003E2EB9" w:rsidP="00EA2CE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3E2EB9">
        <w:rPr>
          <w:rFonts w:asciiTheme="minorHAnsi" w:hAnsiTheme="minorHAnsi"/>
        </w:rPr>
        <w:t>dans l’hypothèse où</w:t>
      </w:r>
      <w:r w:rsidR="00697CD3">
        <w:rPr>
          <w:rFonts w:asciiTheme="minorHAnsi" w:hAnsiTheme="minorHAnsi"/>
        </w:rPr>
        <w:t>,</w:t>
      </w:r>
      <w:r w:rsidRPr="003E2EB9">
        <w:rPr>
          <w:rFonts w:asciiTheme="minorHAnsi" w:hAnsiTheme="minorHAnsi"/>
        </w:rPr>
        <w:t xml:space="preserve"> pour un </w:t>
      </w:r>
      <w:r w:rsidR="00697CD3" w:rsidRPr="003E2EB9">
        <w:rPr>
          <w:rFonts w:asciiTheme="minorHAnsi" w:hAnsiTheme="minorHAnsi"/>
        </w:rPr>
        <w:t>indicateur</w:t>
      </w:r>
      <w:r w:rsidR="00697CD3" w:rsidRPr="003E2EB9">
        <w:rPr>
          <w:rFonts w:asciiTheme="minorHAnsi" w:hAnsiTheme="minorHAnsi"/>
          <w:b/>
        </w:rPr>
        <w:t xml:space="preserve">, </w:t>
      </w:r>
      <w:r w:rsidR="00136C0D">
        <w:rPr>
          <w:rFonts w:asciiTheme="minorHAnsi" w:hAnsiTheme="minorHAnsi"/>
          <w:b/>
        </w:rPr>
        <w:t>votre</w:t>
      </w:r>
      <w:r w:rsidRPr="003E2EB9">
        <w:rPr>
          <w:rFonts w:asciiTheme="minorHAnsi" w:hAnsiTheme="minorHAnsi"/>
          <w:b/>
        </w:rPr>
        <w:t xml:space="preserve"> </w:t>
      </w:r>
      <w:r w:rsidR="00962F71" w:rsidRPr="003E2EB9">
        <w:rPr>
          <w:rFonts w:asciiTheme="minorHAnsi" w:hAnsiTheme="minorHAnsi"/>
          <w:b/>
        </w:rPr>
        <w:t xml:space="preserve">taux de substitution </w:t>
      </w:r>
      <w:r w:rsidRPr="003E2EB9">
        <w:rPr>
          <w:rFonts w:asciiTheme="minorHAnsi" w:hAnsiTheme="minorHAnsi"/>
          <w:b/>
        </w:rPr>
        <w:t xml:space="preserve">d’arrivée </w:t>
      </w:r>
      <w:r w:rsidR="00962F71" w:rsidRPr="003E2EB9">
        <w:rPr>
          <w:rFonts w:asciiTheme="minorHAnsi" w:hAnsiTheme="minorHAnsi"/>
          <w:b/>
        </w:rPr>
        <w:t xml:space="preserve">est </w:t>
      </w:r>
      <w:r w:rsidR="0070547F">
        <w:rPr>
          <w:rFonts w:asciiTheme="minorHAnsi" w:hAnsiTheme="minorHAnsi"/>
          <w:b/>
        </w:rPr>
        <w:t>compris entre les</w:t>
      </w:r>
      <w:r w:rsidR="00962F71" w:rsidRPr="003E2EB9">
        <w:rPr>
          <w:rFonts w:asciiTheme="minorHAnsi" w:hAnsiTheme="minorHAnsi"/>
          <w:b/>
        </w:rPr>
        <w:t xml:space="preserve"> seuil</w:t>
      </w:r>
      <w:r w:rsidR="0070547F">
        <w:rPr>
          <w:rFonts w:asciiTheme="minorHAnsi" w:hAnsiTheme="minorHAnsi"/>
          <w:b/>
        </w:rPr>
        <w:t xml:space="preserve">s </w:t>
      </w:r>
      <w:r w:rsidR="00962F71" w:rsidRPr="003E2EB9">
        <w:rPr>
          <w:rFonts w:asciiTheme="minorHAnsi" w:hAnsiTheme="minorHAnsi"/>
          <w:b/>
        </w:rPr>
        <w:t xml:space="preserve"> intermédiaire</w:t>
      </w:r>
      <w:r w:rsidR="0070547F">
        <w:rPr>
          <w:rFonts w:asciiTheme="minorHAnsi" w:hAnsiTheme="minorHAnsi"/>
          <w:b/>
        </w:rPr>
        <w:t>s</w:t>
      </w:r>
      <w:r w:rsidRPr="003E2EB9">
        <w:rPr>
          <w:rFonts w:asciiTheme="minorHAnsi" w:hAnsiTheme="minorHAnsi"/>
          <w:b/>
        </w:rPr>
        <w:t xml:space="preserve"> 2</w:t>
      </w:r>
      <w:r w:rsidR="0070547F">
        <w:rPr>
          <w:rFonts w:asciiTheme="minorHAnsi" w:hAnsiTheme="minorHAnsi"/>
          <w:b/>
        </w:rPr>
        <w:t xml:space="preserve"> et 3</w:t>
      </w:r>
      <w:r w:rsidRPr="003E2EB9">
        <w:rPr>
          <w:rFonts w:asciiTheme="minorHAnsi" w:hAnsiTheme="minorHAnsi"/>
        </w:rPr>
        <w:t xml:space="preserve">, le montant de </w:t>
      </w:r>
      <w:r w:rsidR="00136C0D">
        <w:rPr>
          <w:rFonts w:asciiTheme="minorHAnsi" w:hAnsiTheme="minorHAnsi"/>
        </w:rPr>
        <w:t>votre</w:t>
      </w:r>
      <w:r w:rsidRPr="003E2EB9">
        <w:rPr>
          <w:rFonts w:asciiTheme="minorHAnsi" w:hAnsiTheme="minorHAnsi"/>
        </w:rPr>
        <w:t xml:space="preserve"> </w:t>
      </w:r>
      <w:r w:rsidR="00962F71" w:rsidRPr="003E2EB9">
        <w:rPr>
          <w:rFonts w:asciiTheme="minorHAnsi" w:hAnsiTheme="minorHAnsi"/>
        </w:rPr>
        <w:t>ROSP</w:t>
      </w:r>
      <w:r w:rsidRPr="003E2EB9">
        <w:rPr>
          <w:rFonts w:asciiTheme="minorHAnsi" w:hAnsiTheme="minorHAnsi"/>
        </w:rPr>
        <w:t xml:space="preserve"> sera compris</w:t>
      </w:r>
      <w:r w:rsidR="00136C0D">
        <w:rPr>
          <w:rFonts w:asciiTheme="minorHAnsi" w:hAnsiTheme="minorHAnsi"/>
        </w:rPr>
        <w:t xml:space="preserve"> entre 73 et</w:t>
      </w:r>
      <w:r w:rsidR="00136C0D">
        <w:rPr>
          <w:rFonts w:asciiTheme="minorHAnsi" w:hAnsiTheme="minorHAnsi"/>
        </w:rPr>
        <w:br/>
      </w:r>
      <w:r w:rsidR="00962F71" w:rsidRPr="003E2EB9">
        <w:rPr>
          <w:rFonts w:asciiTheme="minorHAnsi" w:hAnsiTheme="minorHAnsi"/>
        </w:rPr>
        <w:t>99</w:t>
      </w:r>
      <w:r w:rsidRPr="003E2EB9">
        <w:rPr>
          <w:rFonts w:asciiTheme="minorHAnsi" w:hAnsiTheme="minorHAnsi"/>
        </w:rPr>
        <w:t xml:space="preserve"> </w:t>
      </w:r>
      <w:r w:rsidR="00962F71" w:rsidRPr="003E2EB9">
        <w:rPr>
          <w:rFonts w:asciiTheme="minorHAnsi" w:hAnsiTheme="minorHAnsi"/>
        </w:rPr>
        <w:t xml:space="preserve">% de la </w:t>
      </w:r>
      <w:r w:rsidRPr="003E2EB9">
        <w:rPr>
          <w:rFonts w:asciiTheme="minorHAnsi" w:hAnsiTheme="minorHAnsi"/>
        </w:rPr>
        <w:t xml:space="preserve">ROSP redistribuée, </w:t>
      </w:r>
      <w:r w:rsidRPr="003E2EB9">
        <w:rPr>
          <w:rFonts w:asciiTheme="minorHAnsi" w:hAnsiTheme="minorHAnsi"/>
          <w:b/>
        </w:rPr>
        <w:t xml:space="preserve">contre </w:t>
      </w:r>
      <w:r w:rsidR="00962F71" w:rsidRPr="003E2EB9">
        <w:rPr>
          <w:rFonts w:asciiTheme="minorHAnsi" w:hAnsiTheme="minorHAnsi"/>
          <w:b/>
        </w:rPr>
        <w:t>75</w:t>
      </w:r>
      <w:r w:rsidRPr="003E2EB9">
        <w:rPr>
          <w:rFonts w:asciiTheme="minorHAnsi" w:hAnsiTheme="minorHAnsi"/>
          <w:b/>
        </w:rPr>
        <w:t xml:space="preserve"> % </w:t>
      </w:r>
      <w:r w:rsidR="00962F71" w:rsidRPr="003E2EB9">
        <w:rPr>
          <w:rFonts w:asciiTheme="minorHAnsi" w:hAnsiTheme="minorHAnsi"/>
          <w:b/>
        </w:rPr>
        <w:t>à 92</w:t>
      </w:r>
      <w:r w:rsidRPr="003E2EB9">
        <w:rPr>
          <w:rFonts w:asciiTheme="minorHAnsi" w:hAnsiTheme="minorHAnsi"/>
          <w:b/>
        </w:rPr>
        <w:t xml:space="preserve"> %</w:t>
      </w:r>
      <w:r w:rsidR="00962F71" w:rsidRPr="003E2EB9">
        <w:rPr>
          <w:rFonts w:asciiTheme="minorHAnsi" w:hAnsiTheme="minorHAnsi"/>
          <w:b/>
        </w:rPr>
        <w:t xml:space="preserve"> en 2017</w:t>
      </w:r>
      <w:r w:rsidRPr="003E2EB9">
        <w:rPr>
          <w:rFonts w:asciiTheme="minorHAnsi" w:hAnsiTheme="minorHAnsi"/>
          <w:b/>
        </w:rPr>
        <w:t> </w:t>
      </w:r>
      <w:r w:rsidRPr="003E2EB9">
        <w:rPr>
          <w:rFonts w:asciiTheme="minorHAnsi" w:hAnsiTheme="minorHAnsi"/>
        </w:rPr>
        <w:t>;</w:t>
      </w:r>
    </w:p>
    <w:p w:rsidR="003E2EB9" w:rsidRPr="003E2EB9" w:rsidRDefault="003E2EB9" w:rsidP="003E2EB9">
      <w:pPr>
        <w:spacing w:after="0" w:line="240" w:lineRule="auto"/>
        <w:ind w:left="415"/>
        <w:jc w:val="both"/>
        <w:rPr>
          <w:rFonts w:asciiTheme="minorHAnsi" w:hAnsiTheme="minorHAnsi"/>
        </w:rPr>
      </w:pPr>
    </w:p>
    <w:p w:rsidR="00962F71" w:rsidRPr="003E2EB9" w:rsidRDefault="003E2EB9" w:rsidP="00EA2CE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enfin, pour les </w:t>
      </w:r>
      <w:r w:rsidR="0070547F">
        <w:rPr>
          <w:rFonts w:asciiTheme="minorHAnsi" w:hAnsiTheme="minorHAnsi"/>
        </w:rPr>
        <w:t xml:space="preserve">très bons </w:t>
      </w:r>
      <w:r>
        <w:rPr>
          <w:rFonts w:asciiTheme="minorHAnsi" w:hAnsiTheme="minorHAnsi"/>
        </w:rPr>
        <w:t xml:space="preserve">substitueurs qui </w:t>
      </w:r>
      <w:r w:rsidR="00136C0D">
        <w:rPr>
          <w:rFonts w:asciiTheme="minorHAnsi" w:hAnsiTheme="minorHAnsi"/>
        </w:rPr>
        <w:t>parviennent</w:t>
      </w:r>
      <w:r w:rsidR="00697C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pour un indicateur</w:t>
      </w:r>
      <w:r w:rsidR="00C13846">
        <w:rPr>
          <w:rFonts w:asciiTheme="minorHAnsi" w:hAnsiTheme="minorHAnsi"/>
        </w:rPr>
        <w:t xml:space="preserve"> donné</w:t>
      </w:r>
      <w:r w:rsidR="00697C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136C0D">
        <w:rPr>
          <w:rFonts w:asciiTheme="minorHAnsi" w:hAnsiTheme="minorHAnsi"/>
        </w:rPr>
        <w:t xml:space="preserve">à </w:t>
      </w:r>
      <w:r w:rsidRPr="00697CD3">
        <w:rPr>
          <w:rFonts w:asciiTheme="minorHAnsi" w:hAnsiTheme="minorHAnsi"/>
          <w:b/>
        </w:rPr>
        <w:t>un</w:t>
      </w:r>
      <w:r w:rsidRPr="00C13846">
        <w:rPr>
          <w:rFonts w:asciiTheme="minorHAnsi" w:hAnsiTheme="minorHAnsi"/>
          <w:b/>
        </w:rPr>
        <w:t xml:space="preserve"> </w:t>
      </w:r>
      <w:r w:rsidR="00962F71" w:rsidRPr="00C13846">
        <w:rPr>
          <w:rFonts w:asciiTheme="minorHAnsi" w:hAnsiTheme="minorHAnsi"/>
          <w:b/>
        </w:rPr>
        <w:t>taux de substitution supérieur au seuil intermédiaire</w:t>
      </w:r>
      <w:r w:rsidRPr="00C13846">
        <w:rPr>
          <w:rFonts w:asciiTheme="minorHAnsi" w:hAnsiTheme="minorHAnsi"/>
          <w:b/>
        </w:rPr>
        <w:t xml:space="preserve"> 3</w:t>
      </w:r>
      <w:r>
        <w:rPr>
          <w:rFonts w:asciiTheme="minorHAnsi" w:hAnsiTheme="minorHAnsi"/>
        </w:rPr>
        <w:t xml:space="preserve">, leur </w:t>
      </w:r>
      <w:r w:rsidR="00962F71" w:rsidRPr="003E2EB9">
        <w:rPr>
          <w:rFonts w:asciiTheme="minorHAnsi" w:hAnsiTheme="minorHAnsi"/>
        </w:rPr>
        <w:t>ROSP sera comprise entre 99 et 100</w:t>
      </w:r>
      <w:r w:rsidR="00697CD3">
        <w:rPr>
          <w:rFonts w:asciiTheme="minorHAnsi" w:hAnsiTheme="minorHAnsi"/>
        </w:rPr>
        <w:t xml:space="preserve"> % de la</w:t>
      </w:r>
      <w:r>
        <w:rPr>
          <w:rFonts w:asciiTheme="minorHAnsi" w:hAnsiTheme="minorHAnsi"/>
        </w:rPr>
        <w:t xml:space="preserve"> ROSP redistribuée, alors que le </w:t>
      </w:r>
      <w:r w:rsidRPr="00C13846">
        <w:rPr>
          <w:rFonts w:asciiTheme="minorHAnsi" w:hAnsiTheme="minorHAnsi"/>
          <w:b/>
        </w:rPr>
        <w:t xml:space="preserve">pourcentage </w:t>
      </w:r>
      <w:r w:rsidR="00C13846" w:rsidRPr="00C13846">
        <w:rPr>
          <w:rFonts w:asciiTheme="minorHAnsi" w:hAnsiTheme="minorHAnsi"/>
          <w:b/>
        </w:rPr>
        <w:t xml:space="preserve">était au minimum de </w:t>
      </w:r>
      <w:r w:rsidR="00962F71" w:rsidRPr="00C13846">
        <w:rPr>
          <w:rFonts w:asciiTheme="minorHAnsi" w:hAnsiTheme="minorHAnsi"/>
          <w:b/>
        </w:rPr>
        <w:t xml:space="preserve">92 </w:t>
      </w:r>
      <w:r w:rsidR="00C13846" w:rsidRPr="00C13846">
        <w:rPr>
          <w:rFonts w:asciiTheme="minorHAnsi" w:hAnsiTheme="minorHAnsi"/>
          <w:b/>
        </w:rPr>
        <w:t xml:space="preserve">% </w:t>
      </w:r>
      <w:r w:rsidR="00962F71" w:rsidRPr="00C13846">
        <w:rPr>
          <w:rFonts w:asciiTheme="minorHAnsi" w:hAnsiTheme="minorHAnsi"/>
          <w:b/>
        </w:rPr>
        <w:t>en 2017</w:t>
      </w:r>
      <w:r w:rsidRPr="00C13846">
        <w:rPr>
          <w:rFonts w:asciiTheme="minorHAnsi" w:hAnsiTheme="minorHAnsi"/>
        </w:rPr>
        <w:t>.</w:t>
      </w:r>
    </w:p>
    <w:p w:rsidR="00962F71" w:rsidRDefault="00962F71" w:rsidP="00CC5A5A">
      <w:pPr>
        <w:spacing w:after="0" w:line="240" w:lineRule="auto"/>
        <w:jc w:val="both"/>
        <w:rPr>
          <w:rFonts w:asciiTheme="minorHAnsi" w:hAnsiTheme="minorHAnsi"/>
        </w:rPr>
      </w:pPr>
    </w:p>
    <w:p w:rsidR="00DA032D" w:rsidRDefault="00C13846" w:rsidP="00CC5A5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Afin d’illust</w:t>
      </w:r>
      <w:r w:rsidR="007C7745">
        <w:rPr>
          <w:rFonts w:asciiTheme="minorHAnsi" w:hAnsiTheme="minorHAnsi"/>
        </w:rPr>
        <w:t>r</w:t>
      </w:r>
      <w:r>
        <w:rPr>
          <w:rFonts w:asciiTheme="minorHAnsi" w:hAnsiTheme="minorHAnsi"/>
        </w:rPr>
        <w:t>er l</w:t>
      </w:r>
      <w:r w:rsidR="007C7745">
        <w:rPr>
          <w:rFonts w:asciiTheme="minorHAnsi" w:hAnsiTheme="minorHAnsi"/>
        </w:rPr>
        <w:t>’effet de ces modifications, nous avons comparé</w:t>
      </w:r>
      <w:r w:rsidR="00697CD3">
        <w:rPr>
          <w:rFonts w:asciiTheme="minorHAnsi" w:hAnsiTheme="minorHAnsi"/>
        </w:rPr>
        <w:t>,</w:t>
      </w:r>
      <w:r w:rsidR="00D07B3C">
        <w:rPr>
          <w:rFonts w:asciiTheme="minorHAnsi" w:hAnsiTheme="minorHAnsi"/>
        </w:rPr>
        <w:t xml:space="preserve"> pour un</w:t>
      </w:r>
      <w:r w:rsidR="003E3689">
        <w:rPr>
          <w:rFonts w:asciiTheme="minorHAnsi" w:hAnsiTheme="minorHAnsi"/>
        </w:rPr>
        <w:t xml:space="preserve"> indicateur</w:t>
      </w:r>
      <w:r w:rsidR="00136C0D">
        <w:rPr>
          <w:rFonts w:asciiTheme="minorHAnsi" w:hAnsiTheme="minorHAnsi"/>
        </w:rPr>
        <w:t>,</w:t>
      </w:r>
      <w:r w:rsidR="003E3689">
        <w:rPr>
          <w:rFonts w:asciiTheme="minorHAnsi" w:hAnsiTheme="minorHAnsi"/>
        </w:rPr>
        <w:t xml:space="preserve"> </w:t>
      </w:r>
      <w:r w:rsidR="007C7745">
        <w:rPr>
          <w:rFonts w:asciiTheme="minorHAnsi" w:hAnsiTheme="minorHAnsi"/>
        </w:rPr>
        <w:t xml:space="preserve">l’écart en pourcentage du montant </w:t>
      </w:r>
      <w:r w:rsidR="003E3689">
        <w:rPr>
          <w:rFonts w:asciiTheme="minorHAnsi" w:hAnsiTheme="minorHAnsi"/>
        </w:rPr>
        <w:t xml:space="preserve">entre </w:t>
      </w:r>
      <w:r w:rsidR="007C7745">
        <w:rPr>
          <w:rFonts w:asciiTheme="minorHAnsi" w:hAnsiTheme="minorHAnsi"/>
        </w:rPr>
        <w:t>la ROSP versée</w:t>
      </w:r>
      <w:r w:rsidR="00817FA7">
        <w:rPr>
          <w:rFonts w:asciiTheme="minorHAnsi" w:hAnsiTheme="minorHAnsi"/>
        </w:rPr>
        <w:t xml:space="preserve"> en </w:t>
      </w:r>
      <w:r w:rsidR="003E3689">
        <w:rPr>
          <w:rFonts w:asciiTheme="minorHAnsi" w:hAnsiTheme="minorHAnsi"/>
        </w:rPr>
        <w:t xml:space="preserve">2017 et </w:t>
      </w:r>
      <w:r w:rsidR="00817FA7">
        <w:rPr>
          <w:rFonts w:asciiTheme="minorHAnsi" w:hAnsiTheme="minorHAnsi"/>
        </w:rPr>
        <w:t xml:space="preserve">en </w:t>
      </w:r>
      <w:r w:rsidR="003E3689">
        <w:rPr>
          <w:rFonts w:asciiTheme="minorHAnsi" w:hAnsiTheme="minorHAnsi"/>
        </w:rPr>
        <w:t>2018</w:t>
      </w:r>
      <w:r w:rsidR="00DA032D">
        <w:rPr>
          <w:rFonts w:asciiTheme="minorHAnsi" w:hAnsiTheme="minorHAnsi"/>
        </w:rPr>
        <w:t xml:space="preserve"> </w:t>
      </w:r>
      <w:r w:rsidR="007C7745">
        <w:rPr>
          <w:rFonts w:asciiTheme="minorHAnsi" w:hAnsiTheme="minorHAnsi"/>
        </w:rPr>
        <w:t xml:space="preserve"> (cf. graphique ci-dessous).</w:t>
      </w:r>
    </w:p>
    <w:p w:rsidR="007C7745" w:rsidRPr="00170B98" w:rsidRDefault="007C7745" w:rsidP="00CC5A5A">
      <w:pPr>
        <w:spacing w:after="0" w:line="240" w:lineRule="auto"/>
        <w:jc w:val="both"/>
        <w:rPr>
          <w:rFonts w:asciiTheme="minorHAnsi" w:hAnsiTheme="minorHAnsi"/>
        </w:rPr>
      </w:pPr>
    </w:p>
    <w:p w:rsidR="00CC5A5A" w:rsidRPr="00170B98" w:rsidRDefault="007C7745" w:rsidP="00C673B7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fr-FR"/>
        </w:rPr>
        <w:drawing>
          <wp:inline distT="0" distB="0" distL="0" distR="0" wp14:anchorId="0923A298">
            <wp:extent cx="5240216" cy="339607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717" cy="341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C0D" w:rsidRDefault="00136C0D" w:rsidP="00817FA7">
      <w:pPr>
        <w:spacing w:after="0" w:line="240" w:lineRule="auto"/>
        <w:jc w:val="both"/>
        <w:rPr>
          <w:rFonts w:asciiTheme="minorHAnsi" w:hAnsiTheme="minorHAnsi"/>
        </w:rPr>
      </w:pPr>
    </w:p>
    <w:p w:rsidR="00817FA7" w:rsidRDefault="00817FA7" w:rsidP="00817FA7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apparaît que la rémunération </w:t>
      </w:r>
      <w:r w:rsidR="00A961D8">
        <w:rPr>
          <w:rFonts w:asciiTheme="minorHAnsi" w:hAnsiTheme="minorHAnsi"/>
        </w:rPr>
        <w:t xml:space="preserve">calculée avec les paramètres de </w:t>
      </w:r>
      <w:r>
        <w:rPr>
          <w:rFonts w:asciiTheme="minorHAnsi" w:hAnsiTheme="minorHAnsi"/>
        </w:rPr>
        <w:t xml:space="preserve"> 2018 sera supérieure</w:t>
      </w:r>
      <w:r w:rsidR="00A961D8">
        <w:rPr>
          <w:rFonts w:asciiTheme="minorHAnsi" w:hAnsiTheme="minorHAnsi"/>
        </w:rPr>
        <w:t xml:space="preserve"> à celle</w:t>
      </w:r>
      <w:r>
        <w:rPr>
          <w:rFonts w:asciiTheme="minorHAnsi" w:hAnsiTheme="minorHAnsi"/>
        </w:rPr>
        <w:t xml:space="preserve"> </w:t>
      </w:r>
      <w:r w:rsidR="00A961D8">
        <w:rPr>
          <w:rFonts w:asciiTheme="minorHAnsi" w:hAnsiTheme="minorHAnsi"/>
        </w:rPr>
        <w:t xml:space="preserve">calculée avec les paramètres de 2017 </w:t>
      </w:r>
      <w:r>
        <w:rPr>
          <w:rFonts w:asciiTheme="minorHAnsi" w:hAnsiTheme="minorHAnsi"/>
        </w:rPr>
        <w:t xml:space="preserve">seulement pour les </w:t>
      </w:r>
      <w:r w:rsidRPr="00A961D8">
        <w:rPr>
          <w:rFonts w:asciiTheme="minorHAnsi" w:hAnsiTheme="minorHAnsi"/>
          <w:b/>
        </w:rPr>
        <w:t>« très bons substitueurs »</w:t>
      </w:r>
      <w:r w:rsidRPr="007C7745">
        <w:rPr>
          <w:rFonts w:asciiTheme="minorHAnsi" w:hAnsiTheme="minorHAnsi"/>
        </w:rPr>
        <w:t xml:space="preserve">  (ceux ayant obtenu un taux de substitution compris </w:t>
      </w:r>
      <w:r>
        <w:rPr>
          <w:rFonts w:asciiTheme="minorHAnsi" w:hAnsiTheme="minorHAnsi"/>
        </w:rPr>
        <w:t>entre 93,</w:t>
      </w:r>
      <w:r w:rsidRPr="007C7745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% et 98,</w:t>
      </w:r>
      <w:r w:rsidRPr="007C7745">
        <w:rPr>
          <w:rFonts w:asciiTheme="minorHAnsi" w:hAnsiTheme="minorHAnsi"/>
        </w:rPr>
        <w:t>2 %)</w:t>
      </w:r>
      <w:r>
        <w:rPr>
          <w:rFonts w:asciiTheme="minorHAnsi" w:hAnsiTheme="minorHAnsi"/>
        </w:rPr>
        <w:t xml:space="preserve">. Paradoxalement </w:t>
      </w:r>
      <w:r w:rsidR="00A961D8">
        <w:rPr>
          <w:rFonts w:asciiTheme="minorHAnsi" w:hAnsiTheme="minorHAnsi"/>
        </w:rPr>
        <w:t>ce même calcul pour l</w:t>
      </w:r>
      <w:r>
        <w:rPr>
          <w:rFonts w:asciiTheme="minorHAnsi" w:hAnsiTheme="minorHAnsi"/>
        </w:rPr>
        <w:t xml:space="preserve">es </w:t>
      </w:r>
      <w:r w:rsidRPr="00A961D8">
        <w:rPr>
          <w:rFonts w:asciiTheme="minorHAnsi" w:hAnsiTheme="minorHAnsi"/>
          <w:b/>
        </w:rPr>
        <w:t>« excellents substitueurs »</w:t>
      </w:r>
      <w:r>
        <w:rPr>
          <w:rFonts w:asciiTheme="minorHAnsi" w:hAnsiTheme="minorHAnsi"/>
        </w:rPr>
        <w:t xml:space="preserve"> (ayant un taux de substitution supérieur à 98,</w:t>
      </w:r>
      <w:r w:rsidRPr="007C7745">
        <w:rPr>
          <w:rFonts w:asciiTheme="minorHAnsi" w:hAnsiTheme="minorHAnsi"/>
        </w:rPr>
        <w:t>2</w:t>
      </w:r>
      <w:r w:rsidR="00C673B7">
        <w:rPr>
          <w:rFonts w:asciiTheme="minorHAnsi" w:hAnsiTheme="minorHAnsi"/>
        </w:rPr>
        <w:t xml:space="preserve"> </w:t>
      </w:r>
      <w:r w:rsidRPr="007C7745">
        <w:rPr>
          <w:rFonts w:asciiTheme="minorHAnsi" w:hAnsiTheme="minorHAnsi"/>
        </w:rPr>
        <w:t>%</w:t>
      </w:r>
      <w:r>
        <w:rPr>
          <w:rFonts w:asciiTheme="minorHAnsi" w:hAnsiTheme="minorHAnsi"/>
        </w:rPr>
        <w:t xml:space="preserve">) </w:t>
      </w:r>
      <w:r w:rsidR="00A961D8">
        <w:rPr>
          <w:rFonts w:asciiTheme="minorHAnsi" w:hAnsiTheme="minorHAnsi"/>
        </w:rPr>
        <w:t xml:space="preserve">donne une diminution  </w:t>
      </w:r>
      <w:r>
        <w:rPr>
          <w:rFonts w:asciiTheme="minorHAnsi" w:hAnsiTheme="minorHAnsi"/>
        </w:rPr>
        <w:t xml:space="preserve"> </w:t>
      </w:r>
      <w:r w:rsidR="00A961D8">
        <w:rPr>
          <w:rFonts w:asciiTheme="minorHAnsi" w:hAnsiTheme="minorHAnsi"/>
        </w:rPr>
        <w:t>de la</w:t>
      </w:r>
      <w:r>
        <w:rPr>
          <w:rFonts w:asciiTheme="minorHAnsi" w:hAnsiTheme="minorHAnsi"/>
        </w:rPr>
        <w:t xml:space="preserve"> ROSP </w:t>
      </w:r>
      <w:r w:rsidR="00A961D8">
        <w:rPr>
          <w:rFonts w:asciiTheme="minorHAnsi" w:hAnsiTheme="minorHAnsi"/>
        </w:rPr>
        <w:t>entre 2017 et 2018.</w:t>
      </w:r>
    </w:p>
    <w:p w:rsidR="00817FA7" w:rsidRDefault="00817FA7" w:rsidP="00817FA7">
      <w:pPr>
        <w:spacing w:after="0" w:line="240" w:lineRule="auto"/>
        <w:jc w:val="both"/>
        <w:rPr>
          <w:rFonts w:asciiTheme="minorHAnsi" w:hAnsiTheme="minorHAnsi"/>
        </w:rPr>
      </w:pPr>
    </w:p>
    <w:p w:rsidR="007C7745" w:rsidRDefault="007C7745" w:rsidP="007C7745">
      <w:pPr>
        <w:spacing w:after="0" w:line="240" w:lineRule="auto"/>
        <w:jc w:val="both"/>
        <w:rPr>
          <w:rFonts w:asciiTheme="minorHAnsi" w:hAnsiTheme="minorHAnsi"/>
        </w:rPr>
      </w:pPr>
      <w:r w:rsidRPr="007C7745">
        <w:rPr>
          <w:rFonts w:asciiTheme="minorHAnsi" w:hAnsiTheme="minorHAnsi"/>
        </w:rPr>
        <w:t xml:space="preserve">C’est par ce genre de mécanismes complexes que les signataires </w:t>
      </w:r>
      <w:r w:rsidR="00DA032D">
        <w:rPr>
          <w:rFonts w:asciiTheme="minorHAnsi" w:hAnsiTheme="minorHAnsi"/>
        </w:rPr>
        <w:t>de l’avenant n° 13 cherchent à</w:t>
      </w:r>
      <w:r w:rsidRPr="007C7745">
        <w:rPr>
          <w:rFonts w:asciiTheme="minorHAnsi" w:hAnsiTheme="minorHAnsi"/>
        </w:rPr>
        <w:t xml:space="preserve"> </w:t>
      </w:r>
      <w:r w:rsidR="00DA032D">
        <w:rPr>
          <w:rFonts w:asciiTheme="minorHAnsi" w:hAnsiTheme="minorHAnsi"/>
        </w:rPr>
        <w:t>diminuer</w:t>
      </w:r>
      <w:r w:rsidRPr="007C7745">
        <w:rPr>
          <w:rFonts w:asciiTheme="minorHAnsi" w:hAnsiTheme="minorHAnsi"/>
        </w:rPr>
        <w:t xml:space="preserve"> de 25 millions </w:t>
      </w:r>
      <w:r w:rsidR="00DA032D">
        <w:rPr>
          <w:rFonts w:asciiTheme="minorHAnsi" w:hAnsiTheme="minorHAnsi"/>
        </w:rPr>
        <w:t>le montant de la ROSP générique</w:t>
      </w:r>
      <w:r w:rsidR="00697CD3">
        <w:rPr>
          <w:rFonts w:asciiTheme="minorHAnsi" w:hAnsiTheme="minorHAnsi"/>
        </w:rPr>
        <w:t>s</w:t>
      </w:r>
      <w:r w:rsidR="00DA032D">
        <w:rPr>
          <w:rFonts w:asciiTheme="minorHAnsi" w:hAnsiTheme="minorHAnsi"/>
        </w:rPr>
        <w:t xml:space="preserve"> </w:t>
      </w:r>
      <w:r w:rsidRPr="007C7745">
        <w:rPr>
          <w:rFonts w:asciiTheme="minorHAnsi" w:hAnsiTheme="minorHAnsi"/>
        </w:rPr>
        <w:t xml:space="preserve">dès cette année, soit </w:t>
      </w:r>
      <w:r>
        <w:rPr>
          <w:rFonts w:asciiTheme="minorHAnsi" w:hAnsiTheme="minorHAnsi"/>
        </w:rPr>
        <w:t xml:space="preserve">une perte sèche de </w:t>
      </w:r>
      <w:r w:rsidRPr="007C7745">
        <w:rPr>
          <w:rFonts w:asciiTheme="minorHAnsi" w:hAnsiTheme="minorHAnsi"/>
        </w:rPr>
        <w:t xml:space="preserve">18 % (1 100 </w:t>
      </w:r>
      <w:r w:rsidR="00DA032D">
        <w:rPr>
          <w:rFonts w:asciiTheme="minorHAnsi" w:hAnsiTheme="minorHAnsi"/>
        </w:rPr>
        <w:t>euros</w:t>
      </w:r>
      <w:r w:rsidRPr="007C7745">
        <w:rPr>
          <w:rFonts w:asciiTheme="minorHAnsi" w:hAnsiTheme="minorHAnsi"/>
        </w:rPr>
        <w:t>) en moyenne pour chaque officine.</w:t>
      </w:r>
    </w:p>
    <w:p w:rsidR="00983B40" w:rsidRPr="007C7745" w:rsidRDefault="00983B40" w:rsidP="007C7745">
      <w:pPr>
        <w:spacing w:after="0" w:line="240" w:lineRule="auto"/>
        <w:jc w:val="both"/>
        <w:rPr>
          <w:rFonts w:asciiTheme="minorHAnsi" w:hAnsiTheme="minorHAnsi"/>
        </w:rPr>
      </w:pPr>
    </w:p>
    <w:p w:rsidR="007C7745" w:rsidRPr="00983B40" w:rsidRDefault="00136C0D" w:rsidP="00983B40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Consciente de ce marché de dupe, l</w:t>
      </w:r>
      <w:r w:rsidR="007C7745" w:rsidRPr="00983B40">
        <w:rPr>
          <w:rFonts w:asciiTheme="minorHAnsi" w:hAnsiTheme="minorHAnsi"/>
        </w:rPr>
        <w:t xml:space="preserve">a Fédération a refusé de signer un avenant qui </w:t>
      </w:r>
      <w:r w:rsidR="00983B40" w:rsidRPr="00983B40">
        <w:rPr>
          <w:rFonts w:asciiTheme="minorHAnsi" w:hAnsiTheme="minorHAnsi"/>
        </w:rPr>
        <w:t>induit une p</w:t>
      </w:r>
      <w:r w:rsidR="00DA032D">
        <w:rPr>
          <w:rFonts w:asciiTheme="minorHAnsi" w:hAnsiTheme="minorHAnsi"/>
        </w:rPr>
        <w:t>e</w:t>
      </w:r>
      <w:r w:rsidR="00983B40" w:rsidRPr="00983B40">
        <w:rPr>
          <w:rFonts w:asciiTheme="minorHAnsi" w:hAnsiTheme="minorHAnsi"/>
        </w:rPr>
        <w:t xml:space="preserve">rte de </w:t>
      </w:r>
      <w:r w:rsidR="007C7745" w:rsidRPr="00983B40">
        <w:rPr>
          <w:rFonts w:asciiTheme="minorHAnsi" w:hAnsiTheme="minorHAnsi"/>
        </w:rPr>
        <w:t xml:space="preserve">25 millions d'euros </w:t>
      </w:r>
      <w:r w:rsidR="00983B40" w:rsidRPr="00983B40">
        <w:rPr>
          <w:rFonts w:asciiTheme="minorHAnsi" w:hAnsiTheme="minorHAnsi"/>
        </w:rPr>
        <w:t>pour le réseau</w:t>
      </w:r>
      <w:r w:rsidR="00697CD3">
        <w:rPr>
          <w:rFonts w:asciiTheme="minorHAnsi" w:hAnsiTheme="minorHAnsi"/>
        </w:rPr>
        <w:t>,</w:t>
      </w:r>
      <w:r w:rsidR="00983B40" w:rsidRPr="00983B40">
        <w:rPr>
          <w:rFonts w:asciiTheme="minorHAnsi" w:hAnsiTheme="minorHAnsi"/>
        </w:rPr>
        <w:t xml:space="preserve"> </w:t>
      </w:r>
      <w:r w:rsidR="007C7745" w:rsidRPr="00983B40">
        <w:rPr>
          <w:rFonts w:asciiTheme="minorHAnsi" w:hAnsiTheme="minorHAnsi"/>
        </w:rPr>
        <w:t xml:space="preserve">à laquelle viennent s’ajouter plus de 100 millions d'euros ponctionnés sur la rémunération officinale (170 millions de baisses de prix </w:t>
      </w:r>
      <w:r w:rsidR="007C7745" w:rsidRPr="00983B40">
        <w:rPr>
          <w:rFonts w:asciiTheme="minorHAnsi" w:hAnsiTheme="minorHAnsi"/>
        </w:rPr>
        <w:lastRenderedPageBreak/>
        <w:t>– 70 millions apportés par l’avenant n°11).</w:t>
      </w:r>
      <w:r w:rsidR="00983B40">
        <w:rPr>
          <w:rFonts w:asciiTheme="minorHAnsi" w:hAnsiTheme="minorHAnsi"/>
        </w:rPr>
        <w:t xml:space="preserve"> </w:t>
      </w:r>
      <w:r w:rsidR="007C7745" w:rsidRPr="00983B40">
        <w:rPr>
          <w:rFonts w:asciiTheme="minorHAnsi" w:hAnsiTheme="minorHAnsi"/>
        </w:rPr>
        <w:t>A périmètre constant des ventes, la perte moyenne par officine s’élè</w:t>
      </w:r>
      <w:r w:rsidR="00983B40">
        <w:rPr>
          <w:rFonts w:asciiTheme="minorHAnsi" w:hAnsiTheme="minorHAnsi"/>
        </w:rPr>
        <w:t>vera pour 2018 à plus de 5 500 euros</w:t>
      </w:r>
      <w:r w:rsidR="007C7745" w:rsidRPr="00983B40">
        <w:rPr>
          <w:rFonts w:asciiTheme="minorHAnsi" w:hAnsiTheme="minorHAnsi"/>
        </w:rPr>
        <w:t>.</w:t>
      </w:r>
    </w:p>
    <w:p w:rsidR="000708DE" w:rsidRPr="00983B40" w:rsidRDefault="000708DE" w:rsidP="00507296">
      <w:pPr>
        <w:spacing w:after="0" w:line="240" w:lineRule="auto"/>
        <w:jc w:val="both"/>
        <w:rPr>
          <w:rFonts w:asciiTheme="minorHAnsi" w:hAnsiTheme="minorHAnsi"/>
        </w:rPr>
      </w:pPr>
    </w:p>
    <w:p w:rsidR="00983B40" w:rsidRDefault="00983B40" w:rsidP="00983B40">
      <w:pPr>
        <w:spacing w:after="0" w:line="240" w:lineRule="auto"/>
        <w:jc w:val="both"/>
        <w:rPr>
          <w:rFonts w:asciiTheme="minorHAnsi" w:hAnsiTheme="minorHAnsi"/>
        </w:rPr>
      </w:pPr>
      <w:r w:rsidRPr="00983B40">
        <w:rPr>
          <w:rFonts w:asciiTheme="minorHAnsi" w:hAnsiTheme="minorHAnsi"/>
        </w:rPr>
        <w:t xml:space="preserve">La Fédération, </w:t>
      </w:r>
      <w:r w:rsidR="00136C0D">
        <w:rPr>
          <w:rFonts w:asciiTheme="minorHAnsi" w:hAnsiTheme="minorHAnsi"/>
        </w:rPr>
        <w:t>sensible à</w:t>
      </w:r>
      <w:r w:rsidRPr="00983B40">
        <w:rPr>
          <w:rFonts w:asciiTheme="minorHAnsi" w:hAnsiTheme="minorHAnsi"/>
        </w:rPr>
        <w:t xml:space="preserve"> l’importance de cette rémunération pour de nombreuses officines, appelle votre vigilance sur plusieurs points :</w:t>
      </w:r>
    </w:p>
    <w:p w:rsidR="00983B40" w:rsidRPr="00983B40" w:rsidRDefault="00983B40" w:rsidP="00983B40">
      <w:pPr>
        <w:pStyle w:val="Paragraphedeliste"/>
        <w:spacing w:after="0" w:line="240" w:lineRule="auto"/>
        <w:ind w:left="775"/>
        <w:jc w:val="both"/>
        <w:rPr>
          <w:rFonts w:asciiTheme="minorHAnsi" w:hAnsiTheme="minorHAnsi"/>
        </w:rPr>
      </w:pPr>
    </w:p>
    <w:p w:rsidR="00983B40" w:rsidRDefault="00983B40" w:rsidP="00983B4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983B40">
        <w:rPr>
          <w:rFonts w:asciiTheme="minorHAnsi" w:hAnsiTheme="minorHAnsi"/>
        </w:rPr>
        <w:t>il est capital de ne négliger aucune ligne et notamment</w:t>
      </w:r>
      <w:r w:rsidR="00C673B7">
        <w:rPr>
          <w:rFonts w:asciiTheme="minorHAnsi" w:hAnsiTheme="minorHAnsi"/>
        </w:rPr>
        <w:t>,</w:t>
      </w:r>
      <w:r w:rsidRPr="00983B40">
        <w:rPr>
          <w:rFonts w:asciiTheme="minorHAnsi" w:hAnsiTheme="minorHAnsi"/>
        </w:rPr>
        <w:t xml:space="preserve"> la ligne </w:t>
      </w:r>
      <w:r>
        <w:rPr>
          <w:rFonts w:asciiTheme="minorHAnsi" w:hAnsiTheme="minorHAnsi"/>
        </w:rPr>
        <w:t>« </w:t>
      </w:r>
      <w:r w:rsidR="00DA032D">
        <w:rPr>
          <w:rFonts w:asciiTheme="minorHAnsi" w:hAnsiTheme="minorHAnsi"/>
        </w:rPr>
        <w:t>R</w:t>
      </w:r>
      <w:r w:rsidRPr="00983B40">
        <w:rPr>
          <w:rFonts w:asciiTheme="minorHAnsi" w:hAnsiTheme="minorHAnsi"/>
        </w:rPr>
        <w:t>este du répertoire</w:t>
      </w:r>
      <w:r>
        <w:rPr>
          <w:rFonts w:asciiTheme="minorHAnsi" w:hAnsiTheme="minorHAnsi"/>
        </w:rPr>
        <w:t> »</w:t>
      </w:r>
      <w:r w:rsidRPr="00983B40">
        <w:rPr>
          <w:rFonts w:asciiTheme="minorHAnsi" w:hAnsiTheme="minorHAnsi"/>
        </w:rPr>
        <w:t xml:space="preserve"> qui concentre près de </w:t>
      </w:r>
      <w:r w:rsidR="00697CD3">
        <w:rPr>
          <w:rFonts w:asciiTheme="minorHAnsi" w:hAnsiTheme="minorHAnsi"/>
        </w:rPr>
        <w:t xml:space="preserve">la </w:t>
      </w:r>
      <w:r w:rsidRPr="00983B40">
        <w:rPr>
          <w:rFonts w:asciiTheme="minorHAnsi" w:hAnsiTheme="minorHAnsi"/>
        </w:rPr>
        <w:t>moi</w:t>
      </w:r>
      <w:r w:rsidR="00DA032D">
        <w:rPr>
          <w:rFonts w:asciiTheme="minorHAnsi" w:hAnsiTheme="minorHAnsi"/>
        </w:rPr>
        <w:t>tié des économies potentielles</w:t>
      </w:r>
      <w:r>
        <w:rPr>
          <w:rFonts w:asciiTheme="minorHAnsi" w:hAnsiTheme="minorHAnsi"/>
        </w:rPr>
        <w:t> ;</w:t>
      </w:r>
    </w:p>
    <w:p w:rsidR="00DF58EF" w:rsidRDefault="00DF58EF" w:rsidP="00DF58EF">
      <w:pPr>
        <w:pStyle w:val="Paragraphedeliste"/>
        <w:spacing w:after="0" w:line="240" w:lineRule="auto"/>
        <w:ind w:left="775"/>
        <w:jc w:val="both"/>
        <w:rPr>
          <w:rFonts w:asciiTheme="minorHAnsi" w:hAnsiTheme="minorHAnsi"/>
        </w:rPr>
      </w:pPr>
    </w:p>
    <w:p w:rsidR="00983B40" w:rsidRDefault="00983B40" w:rsidP="00983B4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983B40">
        <w:rPr>
          <w:rFonts w:asciiTheme="minorHAnsi" w:hAnsiTheme="minorHAnsi"/>
        </w:rPr>
        <w:t xml:space="preserve">les indicateurs Oxycodone, Ezetimibe et </w:t>
      </w:r>
      <w:r w:rsidR="00817FA7">
        <w:rPr>
          <w:rFonts w:asciiTheme="minorHAnsi" w:hAnsiTheme="minorHAnsi"/>
        </w:rPr>
        <w:t>E</w:t>
      </w:r>
      <w:r w:rsidRPr="00983B40">
        <w:rPr>
          <w:rFonts w:asciiTheme="minorHAnsi" w:hAnsiTheme="minorHAnsi"/>
        </w:rPr>
        <w:t xml:space="preserve">zetimibe + </w:t>
      </w:r>
      <w:r w:rsidR="00817FA7">
        <w:rPr>
          <w:rFonts w:asciiTheme="minorHAnsi" w:hAnsiTheme="minorHAnsi"/>
        </w:rPr>
        <w:t>S</w:t>
      </w:r>
      <w:r w:rsidRPr="00983B40">
        <w:rPr>
          <w:rFonts w:asciiTheme="minorHAnsi" w:hAnsiTheme="minorHAnsi"/>
        </w:rPr>
        <w:t xml:space="preserve">imvastatine </w:t>
      </w:r>
      <w:r>
        <w:rPr>
          <w:rFonts w:asciiTheme="minorHAnsi" w:hAnsiTheme="minorHAnsi"/>
        </w:rPr>
        <w:t>sont caractérisés par de</w:t>
      </w:r>
      <w:r w:rsidR="00DA032D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seuils intermédiaires 3 relativement faibles </w:t>
      </w:r>
      <w:r w:rsidRPr="00983B40">
        <w:rPr>
          <w:rFonts w:asciiTheme="minorHAnsi" w:hAnsiTheme="minorHAnsi"/>
        </w:rPr>
        <w:t>(40 ou  80 %)</w:t>
      </w:r>
      <w:r>
        <w:rPr>
          <w:rFonts w:asciiTheme="minorHAnsi" w:hAnsiTheme="minorHAnsi"/>
        </w:rPr>
        <w:t>, permetta</w:t>
      </w:r>
      <w:r w:rsidRPr="00983B40">
        <w:rPr>
          <w:rFonts w:asciiTheme="minorHAnsi" w:hAnsiTheme="minorHAnsi"/>
        </w:rPr>
        <w:t xml:space="preserve">nt </w:t>
      </w:r>
      <w:r>
        <w:rPr>
          <w:rFonts w:asciiTheme="minorHAnsi" w:hAnsiTheme="minorHAnsi"/>
        </w:rPr>
        <w:t xml:space="preserve">de ce fait </w:t>
      </w:r>
      <w:r w:rsidRPr="00983B40">
        <w:rPr>
          <w:rFonts w:asciiTheme="minorHAnsi" w:hAnsiTheme="minorHAnsi"/>
        </w:rPr>
        <w:t>d’obtenir assez facilement 99</w:t>
      </w:r>
      <w:r>
        <w:rPr>
          <w:rFonts w:asciiTheme="minorHAnsi" w:hAnsiTheme="minorHAnsi"/>
        </w:rPr>
        <w:t xml:space="preserve"> </w:t>
      </w:r>
      <w:r w:rsidRPr="00983B40">
        <w:rPr>
          <w:rFonts w:asciiTheme="minorHAnsi" w:hAnsiTheme="minorHAnsi"/>
        </w:rPr>
        <w:t>% de la ROSP redistribuée pour ces lignes dont les montants</w:t>
      </w:r>
      <w:r>
        <w:rPr>
          <w:rFonts w:asciiTheme="minorHAnsi" w:hAnsiTheme="minorHAnsi"/>
        </w:rPr>
        <w:t xml:space="preserve"> d’économies potentielles sont non négligeables (respec</w:t>
      </w:r>
      <w:r w:rsidR="00817FA7">
        <w:rPr>
          <w:rFonts w:asciiTheme="minorHAnsi" w:hAnsiTheme="minorHAnsi"/>
        </w:rPr>
        <w:t xml:space="preserve">tivement 13,7 millions d’euros, </w:t>
      </w:r>
      <w:r w:rsidRPr="00983B40">
        <w:rPr>
          <w:rFonts w:asciiTheme="minorHAnsi" w:hAnsiTheme="minorHAnsi"/>
        </w:rPr>
        <w:t xml:space="preserve">20,2 </w:t>
      </w:r>
      <w:r>
        <w:rPr>
          <w:rFonts w:asciiTheme="minorHAnsi" w:hAnsiTheme="minorHAnsi"/>
        </w:rPr>
        <w:t xml:space="preserve">millions d’euros </w:t>
      </w:r>
      <w:r w:rsidR="00817FA7">
        <w:rPr>
          <w:rFonts w:asciiTheme="minorHAnsi" w:hAnsiTheme="minorHAnsi"/>
        </w:rPr>
        <w:t>et 24,</w:t>
      </w:r>
      <w:r w:rsidRPr="00983B40">
        <w:rPr>
          <w:rFonts w:asciiTheme="minorHAnsi" w:hAnsiTheme="minorHAnsi"/>
        </w:rPr>
        <w:t>9 millions d’euros</w:t>
      </w:r>
      <w:r>
        <w:rPr>
          <w:rFonts w:asciiTheme="minorHAnsi" w:hAnsiTheme="minorHAnsi"/>
        </w:rPr>
        <w:t>) ;</w:t>
      </w:r>
    </w:p>
    <w:p w:rsidR="00983B40" w:rsidRPr="00983B40" w:rsidRDefault="00983B40" w:rsidP="00983B40">
      <w:pPr>
        <w:spacing w:after="0" w:line="240" w:lineRule="auto"/>
        <w:ind w:left="415"/>
        <w:jc w:val="both"/>
        <w:rPr>
          <w:rFonts w:asciiTheme="minorHAnsi" w:hAnsiTheme="minorHAnsi"/>
        </w:rPr>
      </w:pPr>
    </w:p>
    <w:p w:rsidR="00983B40" w:rsidRPr="00983B40" w:rsidRDefault="00983B40" w:rsidP="004D35C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983B40">
        <w:rPr>
          <w:rFonts w:asciiTheme="minorHAnsi" w:hAnsiTheme="minorHAnsi"/>
        </w:rPr>
        <w:t>enfin</w:t>
      </w:r>
      <w:r w:rsidR="00DA032D">
        <w:rPr>
          <w:rFonts w:asciiTheme="minorHAnsi" w:hAnsiTheme="minorHAnsi"/>
        </w:rPr>
        <w:t>,</w:t>
      </w:r>
      <w:r w:rsidRPr="00983B4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vous</w:t>
      </w:r>
      <w:r w:rsidR="003E3689">
        <w:rPr>
          <w:rFonts w:asciiTheme="minorHAnsi" w:hAnsiTheme="minorHAnsi"/>
        </w:rPr>
        <w:t xml:space="preserve"> devez</w:t>
      </w:r>
      <w:r w:rsidRPr="00983B40">
        <w:rPr>
          <w:rFonts w:asciiTheme="minorHAnsi" w:hAnsiTheme="minorHAnsi"/>
        </w:rPr>
        <w:t xml:space="preserve"> consulter les </w:t>
      </w:r>
      <w:r>
        <w:rPr>
          <w:rFonts w:asciiTheme="minorHAnsi" w:hAnsiTheme="minorHAnsi"/>
        </w:rPr>
        <w:t>statistiques</w:t>
      </w:r>
      <w:r w:rsidRPr="00983B40">
        <w:rPr>
          <w:rFonts w:asciiTheme="minorHAnsi" w:hAnsiTheme="minorHAnsi"/>
        </w:rPr>
        <w:t xml:space="preserve"> de votre informatique</w:t>
      </w:r>
      <w:r>
        <w:rPr>
          <w:rFonts w:asciiTheme="minorHAnsi" w:hAnsiTheme="minorHAnsi"/>
        </w:rPr>
        <w:t>,</w:t>
      </w:r>
      <w:r w:rsidRPr="00983B40">
        <w:rPr>
          <w:rFonts w:asciiTheme="minorHAnsi" w:hAnsiTheme="minorHAnsi"/>
        </w:rPr>
        <w:t xml:space="preserve"> de vos génériqueurs ou de </w:t>
      </w:r>
      <w:r>
        <w:rPr>
          <w:rFonts w:asciiTheme="minorHAnsi" w:hAnsiTheme="minorHAnsi"/>
        </w:rPr>
        <w:t>votre</w:t>
      </w:r>
      <w:r w:rsidRPr="00983B40">
        <w:rPr>
          <w:rFonts w:asciiTheme="minorHAnsi" w:hAnsiTheme="minorHAnsi"/>
        </w:rPr>
        <w:t xml:space="preserve"> CPAM</w:t>
      </w:r>
      <w:r>
        <w:rPr>
          <w:rFonts w:asciiTheme="minorHAnsi" w:hAnsiTheme="minorHAnsi"/>
        </w:rPr>
        <w:t xml:space="preserve">, qui </w:t>
      </w:r>
      <w:r w:rsidR="00697CD3">
        <w:rPr>
          <w:rFonts w:asciiTheme="minorHAnsi" w:hAnsiTheme="minorHAnsi"/>
        </w:rPr>
        <w:t>peuvent</w:t>
      </w:r>
      <w:r w:rsidRPr="00983B40">
        <w:rPr>
          <w:rFonts w:asciiTheme="minorHAnsi" w:hAnsiTheme="minorHAnsi"/>
        </w:rPr>
        <w:t xml:space="preserve"> vous permettre des gains conséquents</w:t>
      </w:r>
      <w:r w:rsidR="003E3689">
        <w:rPr>
          <w:rFonts w:asciiTheme="minorHAnsi" w:hAnsiTheme="minorHAnsi"/>
        </w:rPr>
        <w:t xml:space="preserve"> en optimisant votre substitution</w:t>
      </w:r>
      <w:r w:rsidRPr="00983B40">
        <w:rPr>
          <w:rFonts w:asciiTheme="minorHAnsi" w:hAnsiTheme="minorHAnsi"/>
        </w:rPr>
        <w:t>.</w:t>
      </w:r>
    </w:p>
    <w:p w:rsidR="00714C2D" w:rsidRPr="00C52481" w:rsidRDefault="00C96DEB" w:rsidP="00714C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Nous teno</w:t>
      </w:r>
      <w:r w:rsidR="00136C0D">
        <w:rPr>
          <w:rFonts w:asciiTheme="minorHAnsi" w:hAnsiTheme="minorHAnsi"/>
          <w:bCs/>
        </w:rPr>
        <w:t>ns également à vous signaler qu’à la suite de</w:t>
      </w:r>
      <w:r>
        <w:rPr>
          <w:rFonts w:asciiTheme="minorHAnsi" w:hAnsiTheme="minorHAnsi"/>
          <w:bCs/>
        </w:rPr>
        <w:t xml:space="preserve"> l’instauration d’un objectif de substitution national et individuel de 90 %, </w:t>
      </w:r>
      <w:r w:rsidR="005A6F21">
        <w:rPr>
          <w:rFonts w:asciiTheme="minorHAnsi" w:hAnsiTheme="minorHAnsi"/>
          <w:bCs/>
        </w:rPr>
        <w:t>l</w:t>
      </w:r>
      <w:r w:rsidR="00714C2D" w:rsidRPr="00C52481">
        <w:rPr>
          <w:rFonts w:asciiTheme="minorHAnsi" w:hAnsiTheme="minorHAnsi"/>
        </w:rPr>
        <w:t xml:space="preserve">e taux de substitution </w:t>
      </w:r>
      <w:r w:rsidR="003E3689">
        <w:rPr>
          <w:rFonts w:asciiTheme="minorHAnsi" w:hAnsiTheme="minorHAnsi"/>
        </w:rPr>
        <w:t>au-delà</w:t>
      </w:r>
      <w:r w:rsidR="00714C2D" w:rsidRPr="00C52481">
        <w:rPr>
          <w:rFonts w:asciiTheme="minorHAnsi" w:hAnsiTheme="minorHAnsi"/>
        </w:rPr>
        <w:t xml:space="preserve"> duquel </w:t>
      </w:r>
      <w:r w:rsidR="00136C0D">
        <w:rPr>
          <w:rFonts w:asciiTheme="minorHAnsi" w:hAnsiTheme="minorHAnsi"/>
        </w:rPr>
        <w:t xml:space="preserve">il ne peut y avoir </w:t>
      </w:r>
      <w:r w:rsidR="003E3689">
        <w:rPr>
          <w:rFonts w:asciiTheme="minorHAnsi" w:hAnsiTheme="minorHAnsi"/>
        </w:rPr>
        <w:t xml:space="preserve">de </w:t>
      </w:r>
      <w:r w:rsidR="00714C2D" w:rsidRPr="00C52481">
        <w:rPr>
          <w:rFonts w:asciiTheme="minorHAnsi" w:hAnsiTheme="minorHAnsi"/>
        </w:rPr>
        <w:t>sanction</w:t>
      </w:r>
      <w:r w:rsidR="003E3689">
        <w:rPr>
          <w:rFonts w:asciiTheme="minorHAnsi" w:hAnsiTheme="minorHAnsi"/>
        </w:rPr>
        <w:t>s</w:t>
      </w:r>
      <w:r w:rsidR="00714C2D" w:rsidRPr="00C52481">
        <w:rPr>
          <w:rFonts w:asciiTheme="minorHAnsi" w:hAnsiTheme="minorHAnsi"/>
        </w:rPr>
        <w:t xml:space="preserve"> conventionnelle</w:t>
      </w:r>
      <w:r w:rsidR="003E3689">
        <w:rPr>
          <w:rFonts w:asciiTheme="minorHAnsi" w:hAnsiTheme="minorHAnsi"/>
        </w:rPr>
        <w:t>s</w:t>
      </w:r>
      <w:r w:rsidR="00714C2D" w:rsidRPr="00C52481">
        <w:rPr>
          <w:rFonts w:asciiTheme="minorHAnsi" w:hAnsiTheme="minorHAnsi"/>
        </w:rPr>
        <w:t xml:space="preserve"> à l’égard des pharmaciens ne respectant pas le dispositif législatif relatif à la suspension de la dispense d’avance de frais</w:t>
      </w:r>
      <w:r w:rsidR="00697CD3">
        <w:rPr>
          <w:rFonts w:asciiTheme="minorHAnsi" w:hAnsiTheme="minorHAnsi"/>
        </w:rPr>
        <w:t>,</w:t>
      </w:r>
      <w:r w:rsidR="005D049A" w:rsidRPr="00C52481">
        <w:rPr>
          <w:rFonts w:asciiTheme="minorHAnsi" w:hAnsiTheme="minorHAnsi"/>
        </w:rPr>
        <w:t xml:space="preserve"> </w:t>
      </w:r>
      <w:r w:rsidR="00551124">
        <w:rPr>
          <w:rFonts w:asciiTheme="minorHAnsi" w:hAnsiTheme="minorHAnsi"/>
        </w:rPr>
        <w:t>est</w:t>
      </w:r>
      <w:r w:rsidR="007F64DD">
        <w:rPr>
          <w:rFonts w:asciiTheme="minorHAnsi" w:hAnsiTheme="minorHAnsi"/>
        </w:rPr>
        <w:t xml:space="preserve"> fixé à </w:t>
      </w:r>
      <w:r>
        <w:rPr>
          <w:rFonts w:asciiTheme="minorHAnsi" w:hAnsiTheme="minorHAnsi"/>
        </w:rPr>
        <w:t>75</w:t>
      </w:r>
      <w:r w:rsidR="005D049A" w:rsidRPr="00C52481">
        <w:rPr>
          <w:rFonts w:asciiTheme="minorHAnsi" w:hAnsiTheme="minorHAnsi"/>
        </w:rPr>
        <w:t xml:space="preserve"> %</w:t>
      </w:r>
      <w:r>
        <w:rPr>
          <w:rFonts w:asciiTheme="minorHAnsi" w:hAnsiTheme="minorHAnsi"/>
        </w:rPr>
        <w:t xml:space="preserve"> et non plus à 70 %.</w:t>
      </w:r>
    </w:p>
    <w:p w:rsidR="00714C2D" w:rsidRPr="00C52481" w:rsidRDefault="00714C2D" w:rsidP="00714C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7F64DD" w:rsidRDefault="00136C0D" w:rsidP="00714C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Enfin</w:t>
      </w:r>
      <w:r w:rsidR="00714C2D" w:rsidRPr="00C52481">
        <w:rPr>
          <w:rFonts w:asciiTheme="minorHAnsi" w:hAnsiTheme="minorHAnsi"/>
        </w:rPr>
        <w:t xml:space="preserve">, </w:t>
      </w:r>
      <w:r w:rsidR="003E3689" w:rsidRPr="00C52481">
        <w:rPr>
          <w:rFonts w:asciiTheme="minorHAnsi" w:hAnsiTheme="minorHAnsi"/>
        </w:rPr>
        <w:t>les molécules suivantes </w:t>
      </w:r>
      <w:r w:rsidR="00A606C5">
        <w:rPr>
          <w:rFonts w:asciiTheme="minorHAnsi" w:hAnsiTheme="minorHAnsi"/>
        </w:rPr>
        <w:t>sont exclues</w:t>
      </w:r>
      <w:r w:rsidR="00551124" w:rsidRPr="00C52481">
        <w:rPr>
          <w:rFonts w:asciiTheme="minorHAnsi" w:hAnsiTheme="minorHAnsi"/>
        </w:rPr>
        <w:t xml:space="preserve"> du dispositif Tiers Pa</w:t>
      </w:r>
      <w:r w:rsidR="00190894">
        <w:rPr>
          <w:rFonts w:asciiTheme="minorHAnsi" w:hAnsiTheme="minorHAnsi"/>
        </w:rPr>
        <w:t>yant Contre Génériques (TPCG)</w:t>
      </w:r>
      <w:r w:rsidR="00A606C5">
        <w:rPr>
          <w:rFonts w:asciiTheme="minorHAnsi" w:hAnsiTheme="minorHAnsi"/>
        </w:rPr>
        <w:t>.</w:t>
      </w:r>
    </w:p>
    <w:p w:rsidR="00D07B3C" w:rsidRDefault="00D07B3C" w:rsidP="00714C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leNormal"/>
        <w:tblW w:w="8870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8870"/>
      </w:tblGrid>
      <w:tr w:rsidR="007F64DD" w:rsidTr="00240EB5">
        <w:trPr>
          <w:trHeight w:hRule="exact" w:val="346"/>
        </w:trPr>
        <w:tc>
          <w:tcPr>
            <w:tcW w:w="8870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64DD" w:rsidRPr="007E01BD" w:rsidRDefault="00240EB5" w:rsidP="00240EB5">
            <w:pPr>
              <w:spacing w:after="0" w:line="240" w:lineRule="auto"/>
              <w:jc w:val="center"/>
              <w:rPr>
                <w:rFonts w:eastAsia="Arial" w:cs="Arial"/>
                <w:sz w:val="16"/>
                <w:szCs w:val="16"/>
                <w:lang w:val="fr-FR"/>
              </w:rPr>
            </w:pPr>
            <w:r w:rsidRPr="007E01BD">
              <w:rPr>
                <w:bCs/>
                <w:sz w:val="16"/>
                <w:szCs w:val="16"/>
                <w:lang w:val="fr-FR"/>
              </w:rPr>
              <w:t>Molécules</w:t>
            </w:r>
          </w:p>
        </w:tc>
      </w:tr>
      <w:tr w:rsidR="007F64DD" w:rsidTr="00240EB5">
        <w:trPr>
          <w:trHeight w:hRule="exact" w:val="410"/>
        </w:trPr>
        <w:tc>
          <w:tcPr>
            <w:tcW w:w="887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64DD" w:rsidRPr="00B67E64" w:rsidRDefault="00B67E64" w:rsidP="00B67E64">
            <w:pPr>
              <w:widowControl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L-THYROXINE</w:t>
            </w:r>
          </w:p>
        </w:tc>
      </w:tr>
      <w:tr w:rsidR="007F64DD" w:rsidTr="00240EB5">
        <w:trPr>
          <w:trHeight w:hRule="exact" w:val="410"/>
        </w:trPr>
        <w:tc>
          <w:tcPr>
            <w:tcW w:w="887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64DD" w:rsidRPr="00B67E64" w:rsidRDefault="007F64DD" w:rsidP="00240EB5">
            <w:pPr>
              <w:widowControl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67E64">
              <w:rPr>
                <w:bCs/>
                <w:sz w:val="16"/>
                <w:szCs w:val="16"/>
              </w:rPr>
              <w:t>BUPRENORPHINE</w:t>
            </w:r>
          </w:p>
        </w:tc>
      </w:tr>
      <w:tr w:rsidR="007F64DD" w:rsidTr="00240EB5">
        <w:trPr>
          <w:trHeight w:hRule="exact" w:val="415"/>
        </w:trPr>
        <w:tc>
          <w:tcPr>
            <w:tcW w:w="887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64DD" w:rsidRPr="00B67E64" w:rsidRDefault="007F64DD" w:rsidP="00240EB5">
            <w:pPr>
              <w:widowControl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67E64">
              <w:rPr>
                <w:bCs/>
                <w:sz w:val="16"/>
                <w:szCs w:val="16"/>
              </w:rPr>
              <w:t>MYCOPHENOLATE MOFETIL</w:t>
            </w:r>
          </w:p>
        </w:tc>
      </w:tr>
      <w:tr w:rsidR="007F64DD" w:rsidTr="00240EB5">
        <w:trPr>
          <w:trHeight w:hRule="exact" w:val="415"/>
        </w:trPr>
        <w:tc>
          <w:tcPr>
            <w:tcW w:w="8870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64DD" w:rsidRPr="00B67E64" w:rsidRDefault="007F64DD" w:rsidP="00240EB5">
            <w:pPr>
              <w:widowControl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67E64">
              <w:rPr>
                <w:bCs/>
                <w:sz w:val="16"/>
                <w:szCs w:val="16"/>
              </w:rPr>
              <w:t>LAMOTRIGINE</w:t>
            </w:r>
          </w:p>
        </w:tc>
      </w:tr>
      <w:tr w:rsidR="007F64DD" w:rsidTr="00240EB5">
        <w:trPr>
          <w:trHeight w:hRule="exact" w:val="415"/>
        </w:trPr>
        <w:tc>
          <w:tcPr>
            <w:tcW w:w="8870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64DD" w:rsidRPr="00B67E64" w:rsidRDefault="007F64DD" w:rsidP="00240EB5">
            <w:pPr>
              <w:widowControl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67E64">
              <w:rPr>
                <w:bCs/>
                <w:sz w:val="16"/>
                <w:szCs w:val="16"/>
              </w:rPr>
              <w:t>LEVETIRACETAM</w:t>
            </w:r>
          </w:p>
        </w:tc>
      </w:tr>
      <w:tr w:rsidR="007F64DD" w:rsidTr="00240EB5">
        <w:trPr>
          <w:trHeight w:hRule="exact" w:val="415"/>
        </w:trPr>
        <w:tc>
          <w:tcPr>
            <w:tcW w:w="887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64DD" w:rsidRPr="00B67E64" w:rsidRDefault="007F64DD" w:rsidP="00240EB5">
            <w:pPr>
              <w:widowControl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67E64">
              <w:rPr>
                <w:bCs/>
                <w:sz w:val="16"/>
                <w:szCs w:val="16"/>
              </w:rPr>
              <w:t>VALPROATE DE SODIUM</w:t>
            </w:r>
          </w:p>
        </w:tc>
      </w:tr>
      <w:tr w:rsidR="007F64DD" w:rsidTr="00240EB5">
        <w:trPr>
          <w:trHeight w:hRule="exact" w:val="415"/>
        </w:trPr>
        <w:tc>
          <w:tcPr>
            <w:tcW w:w="8870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64DD" w:rsidRPr="00B67E64" w:rsidRDefault="007F64DD" w:rsidP="00240EB5">
            <w:pPr>
              <w:widowControl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67E64">
              <w:rPr>
                <w:bCs/>
                <w:sz w:val="16"/>
                <w:szCs w:val="16"/>
              </w:rPr>
              <w:t>PREGABALINE</w:t>
            </w:r>
          </w:p>
        </w:tc>
      </w:tr>
      <w:tr w:rsidR="007F64DD" w:rsidTr="00240EB5">
        <w:trPr>
          <w:trHeight w:hRule="exact" w:val="415"/>
        </w:trPr>
        <w:tc>
          <w:tcPr>
            <w:tcW w:w="8870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64DD" w:rsidRPr="00B67E64" w:rsidRDefault="007F64DD" w:rsidP="00240EB5">
            <w:pPr>
              <w:widowControl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67E64">
              <w:rPr>
                <w:bCs/>
                <w:sz w:val="16"/>
                <w:szCs w:val="16"/>
              </w:rPr>
              <w:t>ZONISAMIDE</w:t>
            </w:r>
          </w:p>
        </w:tc>
      </w:tr>
    </w:tbl>
    <w:p w:rsidR="00D07B3C" w:rsidRDefault="00D07B3C" w:rsidP="003E2EB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013246" w:rsidRPr="007E01BD" w:rsidRDefault="00013246" w:rsidP="000132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013246" w:rsidRPr="00C52481" w:rsidRDefault="00013246" w:rsidP="00013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u w:val="single"/>
        </w:rPr>
      </w:pPr>
      <w:r w:rsidRPr="00C52481">
        <w:rPr>
          <w:rFonts w:asciiTheme="minorHAnsi" w:hAnsiTheme="minorHAnsi"/>
          <w:b/>
          <w:u w:val="single"/>
        </w:rPr>
        <w:t>SYNTHESE</w:t>
      </w:r>
    </w:p>
    <w:p w:rsidR="00013246" w:rsidRPr="00C52481" w:rsidRDefault="00013246" w:rsidP="00013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u w:val="single"/>
        </w:rPr>
      </w:pPr>
    </w:p>
    <w:p w:rsidR="00A606C5" w:rsidRDefault="00A606C5" w:rsidP="00A6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Le montant de la ROSP versé en 2019 au titre de 2018 devrait être inférieur de 25 millions à celui qui sera versé en 2018 au titre de 2017.</w:t>
      </w:r>
    </w:p>
    <w:p w:rsidR="00A606C5" w:rsidRDefault="00A606C5" w:rsidP="00A6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</w:p>
    <w:p w:rsidR="00A606C5" w:rsidRDefault="00A606C5" w:rsidP="00A6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Afin de limiter au maximum l’effet de cette baisse les pharmaciens doivent augmenter leurs efforts notamment sur les 4 lignes : « </w:t>
      </w:r>
      <w:proofErr w:type="spellStart"/>
      <w:r>
        <w:rPr>
          <w:rFonts w:asciiTheme="minorHAnsi" w:hAnsiTheme="minorHAnsi"/>
          <w:b/>
        </w:rPr>
        <w:t>Oxycodone</w:t>
      </w:r>
      <w:proofErr w:type="spellEnd"/>
      <w:r>
        <w:rPr>
          <w:rFonts w:asciiTheme="minorHAnsi" w:hAnsiTheme="minorHAnsi"/>
          <w:b/>
        </w:rPr>
        <w:t> », « </w:t>
      </w:r>
      <w:proofErr w:type="spellStart"/>
      <w:r>
        <w:rPr>
          <w:rFonts w:asciiTheme="minorHAnsi" w:hAnsiTheme="minorHAnsi"/>
          <w:b/>
        </w:rPr>
        <w:t>Ezétimibe</w:t>
      </w:r>
      <w:proofErr w:type="spellEnd"/>
      <w:r>
        <w:rPr>
          <w:rFonts w:asciiTheme="minorHAnsi" w:hAnsiTheme="minorHAnsi"/>
          <w:b/>
        </w:rPr>
        <w:t> », « </w:t>
      </w:r>
      <w:proofErr w:type="spellStart"/>
      <w:r>
        <w:rPr>
          <w:rFonts w:asciiTheme="minorHAnsi" w:hAnsiTheme="minorHAnsi"/>
          <w:b/>
        </w:rPr>
        <w:t>Ezétimibe</w:t>
      </w:r>
      <w:proofErr w:type="spellEnd"/>
      <w:r>
        <w:rPr>
          <w:rFonts w:asciiTheme="minorHAnsi" w:hAnsiTheme="minorHAnsi"/>
          <w:b/>
        </w:rPr>
        <w:t xml:space="preserve"> + </w:t>
      </w:r>
      <w:proofErr w:type="spellStart"/>
      <w:r>
        <w:rPr>
          <w:rFonts w:asciiTheme="minorHAnsi" w:hAnsiTheme="minorHAnsi"/>
          <w:b/>
        </w:rPr>
        <w:t>simvastatine</w:t>
      </w:r>
      <w:proofErr w:type="spellEnd"/>
      <w:r>
        <w:rPr>
          <w:rFonts w:asciiTheme="minorHAnsi" w:hAnsiTheme="minorHAnsi"/>
          <w:b/>
        </w:rPr>
        <w:t xml:space="preserve"> » et « reste du répertoire ».  </w:t>
      </w:r>
    </w:p>
    <w:p w:rsidR="00013246" w:rsidRPr="00C52481" w:rsidRDefault="00013246" w:rsidP="00013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</w:p>
    <w:p w:rsidR="00013246" w:rsidRDefault="00013246" w:rsidP="00013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C52481">
        <w:rPr>
          <w:rFonts w:asciiTheme="minorHAnsi" w:hAnsiTheme="minorHAnsi"/>
          <w:b/>
        </w:rPr>
        <w:t>Un pharmacien peut faire l’objet de la mise en œuvre à son encontre d’une procédure de sanctions conventionnelles, dès lors que son taux de substitution est inférieur à 7</w:t>
      </w:r>
      <w:r w:rsidR="00C96DEB">
        <w:rPr>
          <w:rFonts w:asciiTheme="minorHAnsi" w:hAnsiTheme="minorHAnsi"/>
          <w:b/>
        </w:rPr>
        <w:t>5</w:t>
      </w:r>
      <w:r w:rsidRPr="00C52481">
        <w:rPr>
          <w:rFonts w:asciiTheme="minorHAnsi" w:hAnsiTheme="minorHAnsi"/>
          <w:b/>
        </w:rPr>
        <w:t xml:space="preserve"> %.</w:t>
      </w:r>
    </w:p>
    <w:p w:rsidR="00C96DEB" w:rsidRPr="00C96DEB" w:rsidRDefault="00C96DEB" w:rsidP="00C96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</w:p>
    <w:p w:rsidR="00013246" w:rsidRPr="00C52481" w:rsidRDefault="00013246" w:rsidP="00013246">
      <w:pPr>
        <w:spacing w:after="0" w:line="240" w:lineRule="auto"/>
        <w:jc w:val="both"/>
        <w:rPr>
          <w:rFonts w:asciiTheme="minorHAnsi" w:hAnsiTheme="minorHAnsi"/>
        </w:rPr>
      </w:pPr>
    </w:p>
    <w:p w:rsidR="009E11CD" w:rsidRPr="00DD2834" w:rsidRDefault="009E11CD" w:rsidP="009E11CD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DD2834">
        <w:rPr>
          <w:rFonts w:cs="Calibri"/>
          <w:b/>
          <w:i/>
          <w:sz w:val="20"/>
          <w:szCs w:val="20"/>
          <w:u w:val="single"/>
        </w:rPr>
        <w:t xml:space="preserve">Pour aller plus loin </w:t>
      </w:r>
      <w:r w:rsidRPr="00DD2834">
        <w:rPr>
          <w:rFonts w:cs="Calibri"/>
          <w:b/>
          <w:i/>
          <w:sz w:val="20"/>
          <w:szCs w:val="20"/>
        </w:rPr>
        <w:t xml:space="preserve">: </w:t>
      </w:r>
    </w:p>
    <w:p w:rsidR="009E11CD" w:rsidRDefault="005023CD" w:rsidP="009E11CD">
      <w:pPr>
        <w:spacing w:after="0" w:line="240" w:lineRule="auto"/>
        <w:jc w:val="both"/>
        <w:rPr>
          <w:rStyle w:val="lev"/>
          <w:b w:val="0"/>
          <w:bCs w:val="0"/>
          <w:sz w:val="20"/>
          <w:szCs w:val="20"/>
        </w:rPr>
      </w:pPr>
      <w:hyperlink r:id="rId9" w:history="1">
        <w:r w:rsidR="009E11CD" w:rsidRPr="00EA31F1">
          <w:rPr>
            <w:rStyle w:val="Lienhypertexte"/>
            <w:sz w:val="20"/>
            <w:szCs w:val="20"/>
          </w:rPr>
          <w:t>-  avenant n° 12 à l'accord relatif à la fixation d'objectifs de délivrance de spécialités génériques signé le 6 janvier 2006</w:t>
        </w:r>
      </w:hyperlink>
    </w:p>
    <w:p w:rsidR="009E11CD" w:rsidRDefault="009E11CD" w:rsidP="009E11CD">
      <w:pPr>
        <w:spacing w:after="0" w:line="240" w:lineRule="auto"/>
        <w:jc w:val="both"/>
        <w:rPr>
          <w:rStyle w:val="lev"/>
          <w:b w:val="0"/>
          <w:bCs w:val="0"/>
          <w:sz w:val="20"/>
          <w:szCs w:val="20"/>
        </w:rPr>
      </w:pPr>
    </w:p>
    <w:p w:rsidR="00EA31F1" w:rsidRPr="00EA31F1" w:rsidRDefault="005023CD" w:rsidP="00EA31F1">
      <w:pPr>
        <w:spacing w:after="0" w:line="240" w:lineRule="auto"/>
        <w:jc w:val="both"/>
        <w:rPr>
          <w:rStyle w:val="lev"/>
          <w:b w:val="0"/>
          <w:bCs w:val="0"/>
          <w:sz w:val="20"/>
          <w:szCs w:val="20"/>
        </w:rPr>
      </w:pPr>
      <w:hyperlink r:id="rId10" w:history="1">
        <w:r w:rsidR="00EA31F1" w:rsidRPr="00EA31F1">
          <w:rPr>
            <w:rStyle w:val="Lienhypertexte"/>
            <w:sz w:val="20"/>
            <w:szCs w:val="20"/>
          </w:rPr>
          <w:t>- avenant n° 13 à la convention nationale du 4 avril 2012 organisant  les rapports  entre les pharmaciens  titulaires d'officine et l'assurance maladie</w:t>
        </w:r>
      </w:hyperlink>
    </w:p>
    <w:p w:rsidR="00EA31F1" w:rsidRPr="009E11CD" w:rsidRDefault="00EA31F1" w:rsidP="009E11CD">
      <w:pPr>
        <w:spacing w:after="0" w:line="240" w:lineRule="auto"/>
        <w:jc w:val="both"/>
        <w:rPr>
          <w:rStyle w:val="lev"/>
          <w:b w:val="0"/>
          <w:bCs w:val="0"/>
          <w:sz w:val="20"/>
          <w:szCs w:val="20"/>
        </w:rPr>
      </w:pPr>
    </w:p>
    <w:p w:rsidR="0010745A" w:rsidRPr="0010745A" w:rsidRDefault="0010745A" w:rsidP="000D0B90">
      <w:pPr>
        <w:spacing w:after="0" w:line="240" w:lineRule="auto"/>
        <w:ind w:firstLine="708"/>
        <w:jc w:val="both"/>
        <w:rPr>
          <w:rFonts w:ascii="Proxima Nova Rg" w:hAnsi="Proxima Nova Rg"/>
          <w:sz w:val="18"/>
          <w:szCs w:val="18"/>
        </w:rPr>
      </w:pPr>
    </w:p>
    <w:sectPr w:rsidR="0010745A" w:rsidRPr="0010745A" w:rsidSect="00BC0BE9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1418" w:right="1418" w:bottom="1418" w:left="1418" w:header="709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A0B" w:rsidRDefault="004C7A0B" w:rsidP="00707C01">
      <w:pPr>
        <w:spacing w:after="0" w:line="240" w:lineRule="auto"/>
      </w:pPr>
      <w:r>
        <w:separator/>
      </w:r>
    </w:p>
  </w:endnote>
  <w:endnote w:type="continuationSeparator" w:id="0">
    <w:p w:rsidR="004C7A0B" w:rsidRDefault="004C7A0B" w:rsidP="0070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FPAC A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FMAP A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745" w:rsidRDefault="007C7745" w:rsidP="00902F1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C7745" w:rsidRDefault="007C7745" w:rsidP="00EA7C0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745" w:rsidRDefault="007C7745" w:rsidP="00902F1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023CD">
      <w:rPr>
        <w:rStyle w:val="Numrodepage"/>
        <w:noProof/>
      </w:rPr>
      <w:t>5</w:t>
    </w:r>
    <w:r>
      <w:rPr>
        <w:rStyle w:val="Numrodepage"/>
      </w:rPr>
      <w:fldChar w:fldCharType="end"/>
    </w:r>
  </w:p>
  <w:p w:rsidR="007C7745" w:rsidRDefault="007C7745" w:rsidP="00EA7C02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745" w:rsidRDefault="007C7745">
    <w:pPr>
      <w:pStyle w:val="Pieddepage"/>
    </w:pPr>
    <w:r w:rsidRPr="001D67FC">
      <w:rPr>
        <w:noProof/>
        <w:lang w:eastAsia="fr-FR"/>
      </w:rPr>
      <w:drawing>
        <wp:inline distT="0" distB="0" distL="0" distR="0">
          <wp:extent cx="5764530" cy="397510"/>
          <wp:effectExtent l="0" t="0" r="0" b="0"/>
          <wp:docPr id="2" name="Image 2" descr="C:\Users\wittevrongel\AppData\Local\Microsoft\Windows\Temporary Internet Files\Content.Word\Texte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wittevrongel\AppData\Local\Microsoft\Windows\Temporary Internet Files\Content.Word\Texte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A0B" w:rsidRDefault="004C7A0B" w:rsidP="00707C01">
      <w:pPr>
        <w:spacing w:after="0" w:line="240" w:lineRule="auto"/>
      </w:pPr>
      <w:r>
        <w:separator/>
      </w:r>
    </w:p>
  </w:footnote>
  <w:footnote w:type="continuationSeparator" w:id="0">
    <w:p w:rsidR="004C7A0B" w:rsidRDefault="004C7A0B" w:rsidP="00707C01">
      <w:pPr>
        <w:spacing w:after="0" w:line="240" w:lineRule="auto"/>
      </w:pPr>
      <w:r>
        <w:continuationSeparator/>
      </w:r>
    </w:p>
  </w:footnote>
  <w:footnote w:id="1">
    <w:p w:rsidR="007C7745" w:rsidRPr="007614F7" w:rsidRDefault="007C7745" w:rsidP="007614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Mincho" w:hAnsiTheme="minorHAnsi"/>
          <w:lang w:eastAsia="ja-JP"/>
        </w:rPr>
      </w:pPr>
      <w:r>
        <w:rPr>
          <w:rStyle w:val="Appelnotedebasdep"/>
        </w:rPr>
        <w:footnoteRef/>
      </w:r>
      <w:r>
        <w:t xml:space="preserve"> </w:t>
      </w:r>
      <w:r w:rsidRPr="007614F7">
        <w:rPr>
          <w:rFonts w:asciiTheme="minorHAnsi" w:hAnsiTheme="minorHAnsi"/>
          <w:sz w:val="18"/>
          <w:szCs w:val="18"/>
        </w:rPr>
        <w:t>Pour mémoire, la stabilité de la dispensation des médicaments génériques se définit comme l’engagement par chaque</w:t>
      </w:r>
      <w:r w:rsidRPr="007614F7">
        <w:rPr>
          <w:rFonts w:asciiTheme="minorHAnsi" w:eastAsia="MS Mincho" w:hAnsiTheme="minorHAnsi"/>
          <w:sz w:val="18"/>
          <w:szCs w:val="18"/>
          <w:lang w:eastAsia="ja-JP"/>
        </w:rPr>
        <w:t xml:space="preserve"> pharmacien à garantir aux patients de plus de 75 ans, pour chaque indicateur du tableau ci-dessus, la délivrance de la même marque de générique</w:t>
      </w:r>
      <w:r w:rsidRPr="007614F7">
        <w:rPr>
          <w:rFonts w:asciiTheme="minorHAnsi" w:hAnsiTheme="minorHAnsi"/>
          <w:sz w:val="18"/>
          <w:szCs w:val="18"/>
        </w:rPr>
        <w:t xml:space="preserve">, afin de </w:t>
      </w:r>
      <w:r w:rsidRPr="007614F7">
        <w:rPr>
          <w:rFonts w:asciiTheme="minorHAnsi" w:eastAsia="MS Mincho" w:hAnsiTheme="minorHAnsi"/>
          <w:sz w:val="18"/>
          <w:szCs w:val="18"/>
          <w:lang w:eastAsia="ja-JP"/>
        </w:rPr>
        <w:t>réduire, chez ces derniers, les risques éventuels de confusion entre les médicaments liés à la différence de conditionnement et de forme galénique.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745" w:rsidRDefault="005023C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21419" o:spid="_x0000_s2050" type="#_x0000_t75" style="position:absolute;margin-left:0;margin-top:0;width:453.4pt;height:311.85pt;z-index:-251658752;mso-position-horizontal:center;mso-position-horizontal-relative:margin;mso-position-vertical:center;mso-position-vertical-relative:margin" o:allowincell="f">
          <v:imagedata r:id="rId1" o:title="filligran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745" w:rsidRDefault="007C7745" w:rsidP="00BC0BE9">
    <w:pPr>
      <w:pStyle w:val="En-tte"/>
      <w:ind w:left="-1134"/>
    </w:pPr>
    <w:r w:rsidRPr="001D67FC">
      <w:rPr>
        <w:noProof/>
        <w:lang w:eastAsia="fr-FR"/>
      </w:rPr>
      <w:drawing>
        <wp:inline distT="0" distB="0" distL="0" distR="0">
          <wp:extent cx="2289810" cy="795020"/>
          <wp:effectExtent l="0" t="0" r="0" b="0"/>
          <wp:docPr id="1" name="Image 3" descr="C:\Users\wittevrongel\AppData\Local\Microsoft\Windows\Temporary Internet Files\Content.Word\Logo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wittevrongel\AppData\Local\Microsoft\Windows\Temporary Internet Files\Content.Word\Logoty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23CD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21420" o:spid="_x0000_s2052" type="#_x0000_t75" style="position:absolute;left:0;text-align:left;margin-left:95.65pt;margin-top:252.6pt;width:562.45pt;height:386.85pt;z-index:-251657728;mso-position-horizontal-relative:margin;mso-position-vertical-relative:margin" o:allowincell="f">
          <v:imagedata r:id="rId2" o:title="filligranne" gain="19661f" blacklevel="22938f"/>
          <w10:wrap anchorx="margin" anchory="margin"/>
        </v:shape>
      </w:pict>
    </w:r>
    <w:r w:rsidR="005023CD">
      <w:rPr>
        <w:noProof/>
        <w:lang w:eastAsia="fr-FR"/>
      </w:rPr>
      <w:pict>
        <v:shape id="WordPictureWatermark23721418" o:spid="_x0000_s2049" type="#_x0000_t75" style="position:absolute;left:0;text-align:left;margin-left:0;margin-top:0;width:453.4pt;height:311.85pt;z-index:-251659776;mso-position-horizontal:center;mso-position-horizontal-relative:margin;mso-position-vertical:center;mso-position-vertical-relative:margin" o:allowincell="f">
          <v:imagedata r:id="rId2" o:title="filligran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F07"/>
    <w:multiLevelType w:val="hybridMultilevel"/>
    <w:tmpl w:val="A75CFB5E"/>
    <w:lvl w:ilvl="0" w:tplc="D8E67376">
      <w:start w:val="1"/>
      <w:numFmt w:val="bullet"/>
      <w:lvlText w:val="-"/>
      <w:lvlJc w:val="left"/>
      <w:pPr>
        <w:ind w:left="77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125C0E79"/>
    <w:multiLevelType w:val="multilevel"/>
    <w:tmpl w:val="E4DA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72ABC"/>
    <w:multiLevelType w:val="hybridMultilevel"/>
    <w:tmpl w:val="44B2D71C"/>
    <w:lvl w:ilvl="0" w:tplc="D8E673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01"/>
    <w:rsid w:val="00001499"/>
    <w:rsid w:val="00001E23"/>
    <w:rsid w:val="00013246"/>
    <w:rsid w:val="00017C7A"/>
    <w:rsid w:val="00020BC4"/>
    <w:rsid w:val="0002220F"/>
    <w:rsid w:val="00024057"/>
    <w:rsid w:val="00026966"/>
    <w:rsid w:val="00032F58"/>
    <w:rsid w:val="000355BE"/>
    <w:rsid w:val="00040759"/>
    <w:rsid w:val="00042415"/>
    <w:rsid w:val="0005285A"/>
    <w:rsid w:val="0005315A"/>
    <w:rsid w:val="000535FD"/>
    <w:rsid w:val="000559D0"/>
    <w:rsid w:val="00065D6E"/>
    <w:rsid w:val="00067EA8"/>
    <w:rsid w:val="000708DE"/>
    <w:rsid w:val="000713A3"/>
    <w:rsid w:val="0007225D"/>
    <w:rsid w:val="00074572"/>
    <w:rsid w:val="00083ACC"/>
    <w:rsid w:val="0009050C"/>
    <w:rsid w:val="0009168D"/>
    <w:rsid w:val="000916A5"/>
    <w:rsid w:val="0009447E"/>
    <w:rsid w:val="000A6005"/>
    <w:rsid w:val="000A6E76"/>
    <w:rsid w:val="000A7C3C"/>
    <w:rsid w:val="000B4327"/>
    <w:rsid w:val="000B444D"/>
    <w:rsid w:val="000B46F6"/>
    <w:rsid w:val="000B6AA6"/>
    <w:rsid w:val="000C2D1E"/>
    <w:rsid w:val="000C315A"/>
    <w:rsid w:val="000C5CC8"/>
    <w:rsid w:val="000C60D3"/>
    <w:rsid w:val="000C72D7"/>
    <w:rsid w:val="000D0B90"/>
    <w:rsid w:val="000D0E86"/>
    <w:rsid w:val="000D12F8"/>
    <w:rsid w:val="000D3640"/>
    <w:rsid w:val="000D48C8"/>
    <w:rsid w:val="000D66E9"/>
    <w:rsid w:val="000E2859"/>
    <w:rsid w:val="000E2A57"/>
    <w:rsid w:val="000E3996"/>
    <w:rsid w:val="000E5B9E"/>
    <w:rsid w:val="000E60E2"/>
    <w:rsid w:val="000F1898"/>
    <w:rsid w:val="000F6672"/>
    <w:rsid w:val="000F7FF0"/>
    <w:rsid w:val="001025C7"/>
    <w:rsid w:val="00106AA1"/>
    <w:rsid w:val="0010745A"/>
    <w:rsid w:val="00111CF7"/>
    <w:rsid w:val="00112090"/>
    <w:rsid w:val="0011414E"/>
    <w:rsid w:val="00116179"/>
    <w:rsid w:val="00117159"/>
    <w:rsid w:val="00121065"/>
    <w:rsid w:val="00125EF5"/>
    <w:rsid w:val="0012611F"/>
    <w:rsid w:val="00136C0D"/>
    <w:rsid w:val="00140642"/>
    <w:rsid w:val="00142D98"/>
    <w:rsid w:val="00142F9F"/>
    <w:rsid w:val="001461F7"/>
    <w:rsid w:val="00150A3F"/>
    <w:rsid w:val="0015484C"/>
    <w:rsid w:val="00156249"/>
    <w:rsid w:val="00156D94"/>
    <w:rsid w:val="0016071F"/>
    <w:rsid w:val="00160858"/>
    <w:rsid w:val="001617C7"/>
    <w:rsid w:val="0016230B"/>
    <w:rsid w:val="00162753"/>
    <w:rsid w:val="0016620F"/>
    <w:rsid w:val="0016678E"/>
    <w:rsid w:val="00166B63"/>
    <w:rsid w:val="00167092"/>
    <w:rsid w:val="00170B98"/>
    <w:rsid w:val="001710BF"/>
    <w:rsid w:val="0017550A"/>
    <w:rsid w:val="001821E6"/>
    <w:rsid w:val="001839D4"/>
    <w:rsid w:val="001855DB"/>
    <w:rsid w:val="001871C9"/>
    <w:rsid w:val="001872A4"/>
    <w:rsid w:val="00190894"/>
    <w:rsid w:val="0019251C"/>
    <w:rsid w:val="001950DB"/>
    <w:rsid w:val="001964E6"/>
    <w:rsid w:val="001A159E"/>
    <w:rsid w:val="001A56FC"/>
    <w:rsid w:val="001B0A6B"/>
    <w:rsid w:val="001B2B57"/>
    <w:rsid w:val="001B530D"/>
    <w:rsid w:val="001D3E27"/>
    <w:rsid w:val="001D785B"/>
    <w:rsid w:val="001E11DF"/>
    <w:rsid w:val="001E2327"/>
    <w:rsid w:val="001E23A5"/>
    <w:rsid w:val="001E6E6C"/>
    <w:rsid w:val="001E7A6B"/>
    <w:rsid w:val="001F1300"/>
    <w:rsid w:val="001F434E"/>
    <w:rsid w:val="00200C94"/>
    <w:rsid w:val="00202003"/>
    <w:rsid w:val="00202846"/>
    <w:rsid w:val="00204750"/>
    <w:rsid w:val="00226F9C"/>
    <w:rsid w:val="00227262"/>
    <w:rsid w:val="00230A8C"/>
    <w:rsid w:val="00233805"/>
    <w:rsid w:val="00234325"/>
    <w:rsid w:val="00240638"/>
    <w:rsid w:val="00240EB5"/>
    <w:rsid w:val="002422FF"/>
    <w:rsid w:val="00242F21"/>
    <w:rsid w:val="002434F5"/>
    <w:rsid w:val="00245AF8"/>
    <w:rsid w:val="00250A81"/>
    <w:rsid w:val="00251FA1"/>
    <w:rsid w:val="00253B88"/>
    <w:rsid w:val="002551FA"/>
    <w:rsid w:val="00255968"/>
    <w:rsid w:val="002565A9"/>
    <w:rsid w:val="002567A8"/>
    <w:rsid w:val="002648B4"/>
    <w:rsid w:val="00264E60"/>
    <w:rsid w:val="002650D4"/>
    <w:rsid w:val="002662AB"/>
    <w:rsid w:val="00266C06"/>
    <w:rsid w:val="00266CF9"/>
    <w:rsid w:val="00266EC5"/>
    <w:rsid w:val="00270456"/>
    <w:rsid w:val="0027694E"/>
    <w:rsid w:val="002776FE"/>
    <w:rsid w:val="00277FC2"/>
    <w:rsid w:val="002806E5"/>
    <w:rsid w:val="00280F29"/>
    <w:rsid w:val="002825D4"/>
    <w:rsid w:val="00282D73"/>
    <w:rsid w:val="00283BDE"/>
    <w:rsid w:val="00287A6F"/>
    <w:rsid w:val="002935E2"/>
    <w:rsid w:val="00297B57"/>
    <w:rsid w:val="002A073B"/>
    <w:rsid w:val="002A1CEC"/>
    <w:rsid w:val="002A28E7"/>
    <w:rsid w:val="002A30C9"/>
    <w:rsid w:val="002A41F7"/>
    <w:rsid w:val="002B562A"/>
    <w:rsid w:val="002C19B4"/>
    <w:rsid w:val="002C2364"/>
    <w:rsid w:val="002C4896"/>
    <w:rsid w:val="002D0633"/>
    <w:rsid w:val="002D17F2"/>
    <w:rsid w:val="002D2F87"/>
    <w:rsid w:val="002E2F1C"/>
    <w:rsid w:val="002E4053"/>
    <w:rsid w:val="002E42D1"/>
    <w:rsid w:val="002E4FB1"/>
    <w:rsid w:val="002E6A0C"/>
    <w:rsid w:val="002F5067"/>
    <w:rsid w:val="00302BB6"/>
    <w:rsid w:val="0030355F"/>
    <w:rsid w:val="00304167"/>
    <w:rsid w:val="0030564D"/>
    <w:rsid w:val="003061F7"/>
    <w:rsid w:val="00310268"/>
    <w:rsid w:val="00310F6F"/>
    <w:rsid w:val="00311003"/>
    <w:rsid w:val="0031164A"/>
    <w:rsid w:val="00314C6C"/>
    <w:rsid w:val="00316BBD"/>
    <w:rsid w:val="00321EB4"/>
    <w:rsid w:val="00322825"/>
    <w:rsid w:val="0032484B"/>
    <w:rsid w:val="003253ED"/>
    <w:rsid w:val="00325975"/>
    <w:rsid w:val="00326B7D"/>
    <w:rsid w:val="00330A4F"/>
    <w:rsid w:val="00332353"/>
    <w:rsid w:val="003431B3"/>
    <w:rsid w:val="003436F7"/>
    <w:rsid w:val="00345A09"/>
    <w:rsid w:val="0034749D"/>
    <w:rsid w:val="00347E50"/>
    <w:rsid w:val="0035266D"/>
    <w:rsid w:val="00352864"/>
    <w:rsid w:val="003539FB"/>
    <w:rsid w:val="00355905"/>
    <w:rsid w:val="0035612F"/>
    <w:rsid w:val="00356892"/>
    <w:rsid w:val="00360B17"/>
    <w:rsid w:val="00360CB1"/>
    <w:rsid w:val="0036397F"/>
    <w:rsid w:val="00366821"/>
    <w:rsid w:val="00367928"/>
    <w:rsid w:val="003711A9"/>
    <w:rsid w:val="003719D8"/>
    <w:rsid w:val="00371D1B"/>
    <w:rsid w:val="00375A88"/>
    <w:rsid w:val="00375D57"/>
    <w:rsid w:val="003768F8"/>
    <w:rsid w:val="003820E9"/>
    <w:rsid w:val="003852EA"/>
    <w:rsid w:val="003869B6"/>
    <w:rsid w:val="00392315"/>
    <w:rsid w:val="003945A0"/>
    <w:rsid w:val="003959DF"/>
    <w:rsid w:val="003A1D8A"/>
    <w:rsid w:val="003A52E1"/>
    <w:rsid w:val="003A5D4C"/>
    <w:rsid w:val="003B0199"/>
    <w:rsid w:val="003B3358"/>
    <w:rsid w:val="003B3C10"/>
    <w:rsid w:val="003B412C"/>
    <w:rsid w:val="003B4146"/>
    <w:rsid w:val="003B6C27"/>
    <w:rsid w:val="003C1782"/>
    <w:rsid w:val="003C2122"/>
    <w:rsid w:val="003C3082"/>
    <w:rsid w:val="003D1ED7"/>
    <w:rsid w:val="003D2295"/>
    <w:rsid w:val="003D345F"/>
    <w:rsid w:val="003D597D"/>
    <w:rsid w:val="003D7AF6"/>
    <w:rsid w:val="003E2EB9"/>
    <w:rsid w:val="003E3689"/>
    <w:rsid w:val="003E3D8A"/>
    <w:rsid w:val="003F1DAD"/>
    <w:rsid w:val="003F248F"/>
    <w:rsid w:val="003F6A01"/>
    <w:rsid w:val="00400B12"/>
    <w:rsid w:val="004107D2"/>
    <w:rsid w:val="004118AA"/>
    <w:rsid w:val="00413879"/>
    <w:rsid w:val="00427348"/>
    <w:rsid w:val="0043198C"/>
    <w:rsid w:val="00435DDB"/>
    <w:rsid w:val="0044134D"/>
    <w:rsid w:val="00441FA1"/>
    <w:rsid w:val="00452D10"/>
    <w:rsid w:val="00453AA0"/>
    <w:rsid w:val="0045717C"/>
    <w:rsid w:val="00463E87"/>
    <w:rsid w:val="004652ED"/>
    <w:rsid w:val="00466BD8"/>
    <w:rsid w:val="00471C42"/>
    <w:rsid w:val="00473B09"/>
    <w:rsid w:val="00477C44"/>
    <w:rsid w:val="004806CA"/>
    <w:rsid w:val="00486979"/>
    <w:rsid w:val="00490188"/>
    <w:rsid w:val="00491C6F"/>
    <w:rsid w:val="004A3AB6"/>
    <w:rsid w:val="004A6D28"/>
    <w:rsid w:val="004A7DDF"/>
    <w:rsid w:val="004B0588"/>
    <w:rsid w:val="004B39AD"/>
    <w:rsid w:val="004B6005"/>
    <w:rsid w:val="004B63B7"/>
    <w:rsid w:val="004B692A"/>
    <w:rsid w:val="004B742E"/>
    <w:rsid w:val="004C7A0B"/>
    <w:rsid w:val="004D09D9"/>
    <w:rsid w:val="004D265A"/>
    <w:rsid w:val="004D4725"/>
    <w:rsid w:val="004D510B"/>
    <w:rsid w:val="004E0DAF"/>
    <w:rsid w:val="004E123C"/>
    <w:rsid w:val="004E3E5D"/>
    <w:rsid w:val="004E6EE6"/>
    <w:rsid w:val="004E7576"/>
    <w:rsid w:val="004F28E9"/>
    <w:rsid w:val="004F2DCF"/>
    <w:rsid w:val="004F40EC"/>
    <w:rsid w:val="004F7A1F"/>
    <w:rsid w:val="00501D32"/>
    <w:rsid w:val="00501EF7"/>
    <w:rsid w:val="005023CD"/>
    <w:rsid w:val="00503D20"/>
    <w:rsid w:val="0050496D"/>
    <w:rsid w:val="00507296"/>
    <w:rsid w:val="00511FF4"/>
    <w:rsid w:val="00516B4F"/>
    <w:rsid w:val="00523FC9"/>
    <w:rsid w:val="00525381"/>
    <w:rsid w:val="005255AE"/>
    <w:rsid w:val="00526AD1"/>
    <w:rsid w:val="0052764C"/>
    <w:rsid w:val="00527A06"/>
    <w:rsid w:val="005343C9"/>
    <w:rsid w:val="005351E2"/>
    <w:rsid w:val="0054488F"/>
    <w:rsid w:val="00544D99"/>
    <w:rsid w:val="00547AE1"/>
    <w:rsid w:val="00550733"/>
    <w:rsid w:val="00551124"/>
    <w:rsid w:val="0055120C"/>
    <w:rsid w:val="00551530"/>
    <w:rsid w:val="00552939"/>
    <w:rsid w:val="00552DEC"/>
    <w:rsid w:val="005546FE"/>
    <w:rsid w:val="00554DA3"/>
    <w:rsid w:val="0055582A"/>
    <w:rsid w:val="00555952"/>
    <w:rsid w:val="00560C8B"/>
    <w:rsid w:val="005659E5"/>
    <w:rsid w:val="00565E8C"/>
    <w:rsid w:val="00567A7F"/>
    <w:rsid w:val="00581DB7"/>
    <w:rsid w:val="0058343F"/>
    <w:rsid w:val="00590DA1"/>
    <w:rsid w:val="00593A2E"/>
    <w:rsid w:val="00595EC1"/>
    <w:rsid w:val="00597DDD"/>
    <w:rsid w:val="005A349E"/>
    <w:rsid w:val="005A4C1F"/>
    <w:rsid w:val="005A62E0"/>
    <w:rsid w:val="005A6F21"/>
    <w:rsid w:val="005B709D"/>
    <w:rsid w:val="005C2494"/>
    <w:rsid w:val="005C258C"/>
    <w:rsid w:val="005C3110"/>
    <w:rsid w:val="005C3923"/>
    <w:rsid w:val="005C59A6"/>
    <w:rsid w:val="005C5A8A"/>
    <w:rsid w:val="005D049A"/>
    <w:rsid w:val="005D723B"/>
    <w:rsid w:val="005E18C4"/>
    <w:rsid w:val="005E27D7"/>
    <w:rsid w:val="005E3D2C"/>
    <w:rsid w:val="005F5A61"/>
    <w:rsid w:val="005F7A7D"/>
    <w:rsid w:val="00604CDB"/>
    <w:rsid w:val="00607CD5"/>
    <w:rsid w:val="00613407"/>
    <w:rsid w:val="006222C7"/>
    <w:rsid w:val="006235AB"/>
    <w:rsid w:val="00625974"/>
    <w:rsid w:val="00626601"/>
    <w:rsid w:val="00626887"/>
    <w:rsid w:val="00631BBD"/>
    <w:rsid w:val="006320C5"/>
    <w:rsid w:val="006443FA"/>
    <w:rsid w:val="00650FF4"/>
    <w:rsid w:val="00651002"/>
    <w:rsid w:val="0065386E"/>
    <w:rsid w:val="00653FEF"/>
    <w:rsid w:val="006565BC"/>
    <w:rsid w:val="00657D7F"/>
    <w:rsid w:val="0066127A"/>
    <w:rsid w:val="00663193"/>
    <w:rsid w:val="0066383D"/>
    <w:rsid w:val="00671812"/>
    <w:rsid w:val="00675BED"/>
    <w:rsid w:val="006836A2"/>
    <w:rsid w:val="006841F5"/>
    <w:rsid w:val="0069114B"/>
    <w:rsid w:val="00693447"/>
    <w:rsid w:val="0069757F"/>
    <w:rsid w:val="00697CD3"/>
    <w:rsid w:val="006A36AB"/>
    <w:rsid w:val="006A634F"/>
    <w:rsid w:val="006A67C5"/>
    <w:rsid w:val="006B55B6"/>
    <w:rsid w:val="006C0CA1"/>
    <w:rsid w:val="006D2BF9"/>
    <w:rsid w:val="006D393F"/>
    <w:rsid w:val="006D4559"/>
    <w:rsid w:val="006D5B79"/>
    <w:rsid w:val="006E39C0"/>
    <w:rsid w:val="006E39EA"/>
    <w:rsid w:val="006E4129"/>
    <w:rsid w:val="006F23C1"/>
    <w:rsid w:val="007000DB"/>
    <w:rsid w:val="00704DD6"/>
    <w:rsid w:val="00705371"/>
    <w:rsid w:val="0070547F"/>
    <w:rsid w:val="00706302"/>
    <w:rsid w:val="00707C01"/>
    <w:rsid w:val="00714608"/>
    <w:rsid w:val="00714C2D"/>
    <w:rsid w:val="007166DA"/>
    <w:rsid w:val="00717446"/>
    <w:rsid w:val="00717D1E"/>
    <w:rsid w:val="00726CDF"/>
    <w:rsid w:val="00727217"/>
    <w:rsid w:val="00732F48"/>
    <w:rsid w:val="0073334F"/>
    <w:rsid w:val="00735261"/>
    <w:rsid w:val="0073738D"/>
    <w:rsid w:val="00737EA3"/>
    <w:rsid w:val="00742C9E"/>
    <w:rsid w:val="0074319D"/>
    <w:rsid w:val="007506F5"/>
    <w:rsid w:val="007517F2"/>
    <w:rsid w:val="0075516C"/>
    <w:rsid w:val="007553AC"/>
    <w:rsid w:val="00760866"/>
    <w:rsid w:val="007614F7"/>
    <w:rsid w:val="0076306C"/>
    <w:rsid w:val="00765371"/>
    <w:rsid w:val="00766165"/>
    <w:rsid w:val="00766596"/>
    <w:rsid w:val="00767EFB"/>
    <w:rsid w:val="007703F5"/>
    <w:rsid w:val="00772AD9"/>
    <w:rsid w:val="0077309D"/>
    <w:rsid w:val="0077535E"/>
    <w:rsid w:val="00780446"/>
    <w:rsid w:val="0078054E"/>
    <w:rsid w:val="00787BBD"/>
    <w:rsid w:val="00790FB0"/>
    <w:rsid w:val="00793F8C"/>
    <w:rsid w:val="00796B9F"/>
    <w:rsid w:val="00796C3B"/>
    <w:rsid w:val="00797057"/>
    <w:rsid w:val="007A419D"/>
    <w:rsid w:val="007A627F"/>
    <w:rsid w:val="007A6D7D"/>
    <w:rsid w:val="007A7816"/>
    <w:rsid w:val="007A7C5D"/>
    <w:rsid w:val="007B30FF"/>
    <w:rsid w:val="007B7AA1"/>
    <w:rsid w:val="007C0CE3"/>
    <w:rsid w:val="007C1452"/>
    <w:rsid w:val="007C1964"/>
    <w:rsid w:val="007C2AD3"/>
    <w:rsid w:val="007C6344"/>
    <w:rsid w:val="007C6A4F"/>
    <w:rsid w:val="007C7745"/>
    <w:rsid w:val="007D575B"/>
    <w:rsid w:val="007E01BD"/>
    <w:rsid w:val="007E1516"/>
    <w:rsid w:val="007E227E"/>
    <w:rsid w:val="007E56E1"/>
    <w:rsid w:val="007F1B3C"/>
    <w:rsid w:val="007F64DD"/>
    <w:rsid w:val="0080082D"/>
    <w:rsid w:val="008167E1"/>
    <w:rsid w:val="00817FA7"/>
    <w:rsid w:val="0082026F"/>
    <w:rsid w:val="00822104"/>
    <w:rsid w:val="008245E0"/>
    <w:rsid w:val="00824C0B"/>
    <w:rsid w:val="00831029"/>
    <w:rsid w:val="008326B7"/>
    <w:rsid w:val="008336F2"/>
    <w:rsid w:val="00833BE8"/>
    <w:rsid w:val="00841088"/>
    <w:rsid w:val="008411B4"/>
    <w:rsid w:val="008413C2"/>
    <w:rsid w:val="00844ACF"/>
    <w:rsid w:val="008473EE"/>
    <w:rsid w:val="00850397"/>
    <w:rsid w:val="00850752"/>
    <w:rsid w:val="00853554"/>
    <w:rsid w:val="00853B05"/>
    <w:rsid w:val="00860EF2"/>
    <w:rsid w:val="00866E0E"/>
    <w:rsid w:val="00867B5C"/>
    <w:rsid w:val="00870F7B"/>
    <w:rsid w:val="008711AF"/>
    <w:rsid w:val="008738C9"/>
    <w:rsid w:val="00873DCF"/>
    <w:rsid w:val="0088073E"/>
    <w:rsid w:val="00880C97"/>
    <w:rsid w:val="00880F0F"/>
    <w:rsid w:val="00882E77"/>
    <w:rsid w:val="00883EA1"/>
    <w:rsid w:val="008864D0"/>
    <w:rsid w:val="00887AC6"/>
    <w:rsid w:val="00891841"/>
    <w:rsid w:val="00891D62"/>
    <w:rsid w:val="0089315C"/>
    <w:rsid w:val="00894AB9"/>
    <w:rsid w:val="008A180F"/>
    <w:rsid w:val="008A1E0D"/>
    <w:rsid w:val="008A4FD9"/>
    <w:rsid w:val="008B1232"/>
    <w:rsid w:val="008D10E4"/>
    <w:rsid w:val="008D14D0"/>
    <w:rsid w:val="008D37A9"/>
    <w:rsid w:val="008D6A67"/>
    <w:rsid w:val="008E4277"/>
    <w:rsid w:val="008F2829"/>
    <w:rsid w:val="008F2848"/>
    <w:rsid w:val="008F4144"/>
    <w:rsid w:val="008F5EB9"/>
    <w:rsid w:val="008F5F3B"/>
    <w:rsid w:val="00900200"/>
    <w:rsid w:val="00902F13"/>
    <w:rsid w:val="0090350E"/>
    <w:rsid w:val="00907140"/>
    <w:rsid w:val="009077C4"/>
    <w:rsid w:val="009111B4"/>
    <w:rsid w:val="00912AA5"/>
    <w:rsid w:val="00913A10"/>
    <w:rsid w:val="009141F8"/>
    <w:rsid w:val="0092143F"/>
    <w:rsid w:val="009233E0"/>
    <w:rsid w:val="00923DD8"/>
    <w:rsid w:val="00924BC7"/>
    <w:rsid w:val="00924DC2"/>
    <w:rsid w:val="00926CFA"/>
    <w:rsid w:val="00927013"/>
    <w:rsid w:val="00936216"/>
    <w:rsid w:val="00940461"/>
    <w:rsid w:val="0094404E"/>
    <w:rsid w:val="00945710"/>
    <w:rsid w:val="00950AC8"/>
    <w:rsid w:val="0095527F"/>
    <w:rsid w:val="00955E6A"/>
    <w:rsid w:val="0095729A"/>
    <w:rsid w:val="00957F8E"/>
    <w:rsid w:val="00962B22"/>
    <w:rsid w:val="00962F71"/>
    <w:rsid w:val="00973394"/>
    <w:rsid w:val="0098185F"/>
    <w:rsid w:val="00983B40"/>
    <w:rsid w:val="00984399"/>
    <w:rsid w:val="00987B16"/>
    <w:rsid w:val="0099133B"/>
    <w:rsid w:val="0099289F"/>
    <w:rsid w:val="009936FE"/>
    <w:rsid w:val="00994BFA"/>
    <w:rsid w:val="009974B5"/>
    <w:rsid w:val="009A1681"/>
    <w:rsid w:val="009A3CAB"/>
    <w:rsid w:val="009A608E"/>
    <w:rsid w:val="009B3715"/>
    <w:rsid w:val="009B53D0"/>
    <w:rsid w:val="009B63D6"/>
    <w:rsid w:val="009B67F3"/>
    <w:rsid w:val="009C1414"/>
    <w:rsid w:val="009C72B6"/>
    <w:rsid w:val="009D11C0"/>
    <w:rsid w:val="009D376B"/>
    <w:rsid w:val="009D4F96"/>
    <w:rsid w:val="009D558C"/>
    <w:rsid w:val="009E041E"/>
    <w:rsid w:val="009E11CD"/>
    <w:rsid w:val="009E124D"/>
    <w:rsid w:val="009E659B"/>
    <w:rsid w:val="009F123E"/>
    <w:rsid w:val="009F7C81"/>
    <w:rsid w:val="00A02991"/>
    <w:rsid w:val="00A030B1"/>
    <w:rsid w:val="00A07CB6"/>
    <w:rsid w:val="00A15CFE"/>
    <w:rsid w:val="00A27791"/>
    <w:rsid w:val="00A30CC2"/>
    <w:rsid w:val="00A356F2"/>
    <w:rsid w:val="00A35AD0"/>
    <w:rsid w:val="00A35B80"/>
    <w:rsid w:val="00A36E71"/>
    <w:rsid w:val="00A41683"/>
    <w:rsid w:val="00A424FF"/>
    <w:rsid w:val="00A42EEA"/>
    <w:rsid w:val="00A44305"/>
    <w:rsid w:val="00A46675"/>
    <w:rsid w:val="00A507D5"/>
    <w:rsid w:val="00A50995"/>
    <w:rsid w:val="00A53BFE"/>
    <w:rsid w:val="00A54373"/>
    <w:rsid w:val="00A550C3"/>
    <w:rsid w:val="00A57299"/>
    <w:rsid w:val="00A578CC"/>
    <w:rsid w:val="00A605C8"/>
    <w:rsid w:val="00A606C5"/>
    <w:rsid w:val="00A61C30"/>
    <w:rsid w:val="00A641B6"/>
    <w:rsid w:val="00A64CD6"/>
    <w:rsid w:val="00A71002"/>
    <w:rsid w:val="00A73B9A"/>
    <w:rsid w:val="00A769E5"/>
    <w:rsid w:val="00A76E6C"/>
    <w:rsid w:val="00A82EE4"/>
    <w:rsid w:val="00A906F6"/>
    <w:rsid w:val="00A961D8"/>
    <w:rsid w:val="00A964DF"/>
    <w:rsid w:val="00A97AC7"/>
    <w:rsid w:val="00AA47BC"/>
    <w:rsid w:val="00AA4C42"/>
    <w:rsid w:val="00AB216E"/>
    <w:rsid w:val="00AB7E6D"/>
    <w:rsid w:val="00AB7F83"/>
    <w:rsid w:val="00AC1039"/>
    <w:rsid w:val="00AC20BD"/>
    <w:rsid w:val="00AC28D2"/>
    <w:rsid w:val="00AC75B5"/>
    <w:rsid w:val="00AD49CC"/>
    <w:rsid w:val="00AD4F99"/>
    <w:rsid w:val="00AD577E"/>
    <w:rsid w:val="00AD79C4"/>
    <w:rsid w:val="00AD7DE2"/>
    <w:rsid w:val="00AD7FE0"/>
    <w:rsid w:val="00AE435E"/>
    <w:rsid w:val="00AE60CD"/>
    <w:rsid w:val="00B01CC9"/>
    <w:rsid w:val="00B03150"/>
    <w:rsid w:val="00B03248"/>
    <w:rsid w:val="00B04704"/>
    <w:rsid w:val="00B1098E"/>
    <w:rsid w:val="00B11959"/>
    <w:rsid w:val="00B11B71"/>
    <w:rsid w:val="00B11C87"/>
    <w:rsid w:val="00B138D2"/>
    <w:rsid w:val="00B1726A"/>
    <w:rsid w:val="00B22365"/>
    <w:rsid w:val="00B24C5C"/>
    <w:rsid w:val="00B25165"/>
    <w:rsid w:val="00B27A75"/>
    <w:rsid w:val="00B32C9E"/>
    <w:rsid w:val="00B34DE3"/>
    <w:rsid w:val="00B35FF0"/>
    <w:rsid w:val="00B36163"/>
    <w:rsid w:val="00B43EB7"/>
    <w:rsid w:val="00B46F6B"/>
    <w:rsid w:val="00B52994"/>
    <w:rsid w:val="00B540AA"/>
    <w:rsid w:val="00B55889"/>
    <w:rsid w:val="00B575EB"/>
    <w:rsid w:val="00B61233"/>
    <w:rsid w:val="00B621C4"/>
    <w:rsid w:val="00B62717"/>
    <w:rsid w:val="00B62F8C"/>
    <w:rsid w:val="00B66013"/>
    <w:rsid w:val="00B6615B"/>
    <w:rsid w:val="00B67E64"/>
    <w:rsid w:val="00B703DF"/>
    <w:rsid w:val="00B7112C"/>
    <w:rsid w:val="00B71607"/>
    <w:rsid w:val="00B7168B"/>
    <w:rsid w:val="00B76C80"/>
    <w:rsid w:val="00B76D2E"/>
    <w:rsid w:val="00B8196D"/>
    <w:rsid w:val="00B8359E"/>
    <w:rsid w:val="00B8403A"/>
    <w:rsid w:val="00B84A2A"/>
    <w:rsid w:val="00B87B12"/>
    <w:rsid w:val="00B91B82"/>
    <w:rsid w:val="00B950BC"/>
    <w:rsid w:val="00B977DA"/>
    <w:rsid w:val="00BA0AFE"/>
    <w:rsid w:val="00BB21AE"/>
    <w:rsid w:val="00BB26B5"/>
    <w:rsid w:val="00BB3982"/>
    <w:rsid w:val="00BC0BE9"/>
    <w:rsid w:val="00BC1E6F"/>
    <w:rsid w:val="00BC35F4"/>
    <w:rsid w:val="00BC7B18"/>
    <w:rsid w:val="00BD73E2"/>
    <w:rsid w:val="00BE434E"/>
    <w:rsid w:val="00BE638A"/>
    <w:rsid w:val="00BF0D54"/>
    <w:rsid w:val="00BF6855"/>
    <w:rsid w:val="00BF7640"/>
    <w:rsid w:val="00C00864"/>
    <w:rsid w:val="00C0101E"/>
    <w:rsid w:val="00C0421A"/>
    <w:rsid w:val="00C05058"/>
    <w:rsid w:val="00C07C6E"/>
    <w:rsid w:val="00C13846"/>
    <w:rsid w:val="00C13C5A"/>
    <w:rsid w:val="00C1549A"/>
    <w:rsid w:val="00C172E1"/>
    <w:rsid w:val="00C17715"/>
    <w:rsid w:val="00C17763"/>
    <w:rsid w:val="00C17AD6"/>
    <w:rsid w:val="00C3376A"/>
    <w:rsid w:val="00C44C41"/>
    <w:rsid w:val="00C46751"/>
    <w:rsid w:val="00C52481"/>
    <w:rsid w:val="00C54D1E"/>
    <w:rsid w:val="00C6480C"/>
    <w:rsid w:val="00C673B7"/>
    <w:rsid w:val="00C7688F"/>
    <w:rsid w:val="00C82088"/>
    <w:rsid w:val="00C83310"/>
    <w:rsid w:val="00C86168"/>
    <w:rsid w:val="00C87BFD"/>
    <w:rsid w:val="00C91D6D"/>
    <w:rsid w:val="00C927A8"/>
    <w:rsid w:val="00C92A05"/>
    <w:rsid w:val="00C96DEB"/>
    <w:rsid w:val="00C97D41"/>
    <w:rsid w:val="00CA0E61"/>
    <w:rsid w:val="00CA1B93"/>
    <w:rsid w:val="00CA2A94"/>
    <w:rsid w:val="00CA3D63"/>
    <w:rsid w:val="00CA5698"/>
    <w:rsid w:val="00CA66C0"/>
    <w:rsid w:val="00CB08DD"/>
    <w:rsid w:val="00CB4504"/>
    <w:rsid w:val="00CB575E"/>
    <w:rsid w:val="00CC0285"/>
    <w:rsid w:val="00CC3834"/>
    <w:rsid w:val="00CC5A5A"/>
    <w:rsid w:val="00CC7B1E"/>
    <w:rsid w:val="00CD058C"/>
    <w:rsid w:val="00CD5DCE"/>
    <w:rsid w:val="00CE0705"/>
    <w:rsid w:val="00CE0984"/>
    <w:rsid w:val="00CE13D7"/>
    <w:rsid w:val="00CE2062"/>
    <w:rsid w:val="00CE7746"/>
    <w:rsid w:val="00CE7A4F"/>
    <w:rsid w:val="00CF0687"/>
    <w:rsid w:val="00D0041A"/>
    <w:rsid w:val="00D039E7"/>
    <w:rsid w:val="00D04CDD"/>
    <w:rsid w:val="00D04FD9"/>
    <w:rsid w:val="00D07B3C"/>
    <w:rsid w:val="00D16952"/>
    <w:rsid w:val="00D16A35"/>
    <w:rsid w:val="00D31027"/>
    <w:rsid w:val="00D3441F"/>
    <w:rsid w:val="00D40031"/>
    <w:rsid w:val="00D40D66"/>
    <w:rsid w:val="00D46AA9"/>
    <w:rsid w:val="00D47224"/>
    <w:rsid w:val="00D50EAA"/>
    <w:rsid w:val="00D537B1"/>
    <w:rsid w:val="00D53E1D"/>
    <w:rsid w:val="00D567A3"/>
    <w:rsid w:val="00D57771"/>
    <w:rsid w:val="00D61A2A"/>
    <w:rsid w:val="00D728FC"/>
    <w:rsid w:val="00D73B01"/>
    <w:rsid w:val="00D73FE7"/>
    <w:rsid w:val="00D7540E"/>
    <w:rsid w:val="00D80368"/>
    <w:rsid w:val="00D828F6"/>
    <w:rsid w:val="00D84DED"/>
    <w:rsid w:val="00D85865"/>
    <w:rsid w:val="00D85A41"/>
    <w:rsid w:val="00D85AF9"/>
    <w:rsid w:val="00D85C09"/>
    <w:rsid w:val="00D85D34"/>
    <w:rsid w:val="00D9077E"/>
    <w:rsid w:val="00D90AD5"/>
    <w:rsid w:val="00D9419F"/>
    <w:rsid w:val="00DA032D"/>
    <w:rsid w:val="00DA1CC2"/>
    <w:rsid w:val="00DA2D6B"/>
    <w:rsid w:val="00DB17A8"/>
    <w:rsid w:val="00DC003F"/>
    <w:rsid w:val="00DC4807"/>
    <w:rsid w:val="00DC71A9"/>
    <w:rsid w:val="00DC7376"/>
    <w:rsid w:val="00DD17B7"/>
    <w:rsid w:val="00DD5E37"/>
    <w:rsid w:val="00DD6D72"/>
    <w:rsid w:val="00DE0221"/>
    <w:rsid w:val="00DE1D82"/>
    <w:rsid w:val="00DE380D"/>
    <w:rsid w:val="00DE4805"/>
    <w:rsid w:val="00DE5071"/>
    <w:rsid w:val="00DE66F0"/>
    <w:rsid w:val="00DF14E3"/>
    <w:rsid w:val="00DF3060"/>
    <w:rsid w:val="00DF58EF"/>
    <w:rsid w:val="00E009C7"/>
    <w:rsid w:val="00E00F8D"/>
    <w:rsid w:val="00E07DA1"/>
    <w:rsid w:val="00E13DA7"/>
    <w:rsid w:val="00E13DB8"/>
    <w:rsid w:val="00E177A6"/>
    <w:rsid w:val="00E209B4"/>
    <w:rsid w:val="00E259A4"/>
    <w:rsid w:val="00E2656A"/>
    <w:rsid w:val="00E26BA4"/>
    <w:rsid w:val="00E30044"/>
    <w:rsid w:val="00E30290"/>
    <w:rsid w:val="00E3234C"/>
    <w:rsid w:val="00E34F31"/>
    <w:rsid w:val="00E3655A"/>
    <w:rsid w:val="00E43738"/>
    <w:rsid w:val="00E43F20"/>
    <w:rsid w:val="00E45967"/>
    <w:rsid w:val="00E45A4E"/>
    <w:rsid w:val="00E546E6"/>
    <w:rsid w:val="00E56D6D"/>
    <w:rsid w:val="00E619F4"/>
    <w:rsid w:val="00E64BEC"/>
    <w:rsid w:val="00E65CD7"/>
    <w:rsid w:val="00E66143"/>
    <w:rsid w:val="00E66ED0"/>
    <w:rsid w:val="00E6715A"/>
    <w:rsid w:val="00E739E2"/>
    <w:rsid w:val="00E8549A"/>
    <w:rsid w:val="00E87907"/>
    <w:rsid w:val="00E95486"/>
    <w:rsid w:val="00EA0B47"/>
    <w:rsid w:val="00EA1845"/>
    <w:rsid w:val="00EA2CE3"/>
    <w:rsid w:val="00EA31F1"/>
    <w:rsid w:val="00EA43FF"/>
    <w:rsid w:val="00EA7C02"/>
    <w:rsid w:val="00EB400E"/>
    <w:rsid w:val="00EB4169"/>
    <w:rsid w:val="00EB651B"/>
    <w:rsid w:val="00EC47E0"/>
    <w:rsid w:val="00EC6074"/>
    <w:rsid w:val="00ED03EA"/>
    <w:rsid w:val="00ED29B3"/>
    <w:rsid w:val="00ED4A6B"/>
    <w:rsid w:val="00ED605E"/>
    <w:rsid w:val="00ED67FA"/>
    <w:rsid w:val="00ED71CB"/>
    <w:rsid w:val="00ED72E3"/>
    <w:rsid w:val="00ED7834"/>
    <w:rsid w:val="00ED7A84"/>
    <w:rsid w:val="00EE0BB9"/>
    <w:rsid w:val="00EE59BC"/>
    <w:rsid w:val="00EE7B16"/>
    <w:rsid w:val="00EF1B0D"/>
    <w:rsid w:val="00EF1F92"/>
    <w:rsid w:val="00EF2D2F"/>
    <w:rsid w:val="00EF37C1"/>
    <w:rsid w:val="00EF52DD"/>
    <w:rsid w:val="00EF6A13"/>
    <w:rsid w:val="00EF74DA"/>
    <w:rsid w:val="00F009F4"/>
    <w:rsid w:val="00F02719"/>
    <w:rsid w:val="00F039F3"/>
    <w:rsid w:val="00F0506A"/>
    <w:rsid w:val="00F05D86"/>
    <w:rsid w:val="00F06DC0"/>
    <w:rsid w:val="00F133D1"/>
    <w:rsid w:val="00F16885"/>
    <w:rsid w:val="00F20998"/>
    <w:rsid w:val="00F223B8"/>
    <w:rsid w:val="00F2330D"/>
    <w:rsid w:val="00F24074"/>
    <w:rsid w:val="00F2421F"/>
    <w:rsid w:val="00F25783"/>
    <w:rsid w:val="00F32E08"/>
    <w:rsid w:val="00F334B4"/>
    <w:rsid w:val="00F35856"/>
    <w:rsid w:val="00F358DB"/>
    <w:rsid w:val="00F409C2"/>
    <w:rsid w:val="00F4111B"/>
    <w:rsid w:val="00F42E52"/>
    <w:rsid w:val="00F44C96"/>
    <w:rsid w:val="00F463A9"/>
    <w:rsid w:val="00F463C9"/>
    <w:rsid w:val="00F50683"/>
    <w:rsid w:val="00F5476F"/>
    <w:rsid w:val="00F5652F"/>
    <w:rsid w:val="00F6235F"/>
    <w:rsid w:val="00F65BD3"/>
    <w:rsid w:val="00F66C94"/>
    <w:rsid w:val="00F71F7C"/>
    <w:rsid w:val="00F73AA4"/>
    <w:rsid w:val="00F76727"/>
    <w:rsid w:val="00F772A1"/>
    <w:rsid w:val="00F77548"/>
    <w:rsid w:val="00F77AF4"/>
    <w:rsid w:val="00F82088"/>
    <w:rsid w:val="00F82D4F"/>
    <w:rsid w:val="00F83642"/>
    <w:rsid w:val="00F83DBF"/>
    <w:rsid w:val="00F85234"/>
    <w:rsid w:val="00F8762D"/>
    <w:rsid w:val="00F94185"/>
    <w:rsid w:val="00F957A1"/>
    <w:rsid w:val="00F9791B"/>
    <w:rsid w:val="00FA0BC3"/>
    <w:rsid w:val="00FA27AE"/>
    <w:rsid w:val="00FA577E"/>
    <w:rsid w:val="00FB1245"/>
    <w:rsid w:val="00FD5C72"/>
    <w:rsid w:val="00FD74DB"/>
    <w:rsid w:val="00FE097C"/>
    <w:rsid w:val="00FE4525"/>
    <w:rsid w:val="00FE4C84"/>
    <w:rsid w:val="00FF013C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72DF974E-832A-48D2-A11A-BD890021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A2A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qFormat/>
    <w:rsid w:val="003639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C01"/>
  </w:style>
  <w:style w:type="paragraph" w:styleId="Pieddepage">
    <w:name w:val="footer"/>
    <w:basedOn w:val="Normal"/>
    <w:link w:val="PieddepageCar"/>
    <w:uiPriority w:val="99"/>
    <w:unhideWhenUsed/>
    <w:rsid w:val="0070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C0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C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07C01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BC0BE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ppelnotedebasdep">
    <w:name w:val="footnote reference"/>
    <w:semiHidden/>
    <w:rsid w:val="00BC0BE9"/>
    <w:rPr>
      <w:vertAlign w:val="superscript"/>
    </w:rPr>
  </w:style>
  <w:style w:type="character" w:styleId="Lienhypertexte">
    <w:name w:val="Hyperlink"/>
    <w:rsid w:val="00BC0BE9"/>
    <w:rPr>
      <w:color w:val="0000FF"/>
      <w:u w:val="single"/>
    </w:rPr>
  </w:style>
  <w:style w:type="paragraph" w:customStyle="1" w:styleId="Default">
    <w:name w:val="Default"/>
    <w:rsid w:val="00BC0BE9"/>
    <w:pPr>
      <w:widowControl w:val="0"/>
      <w:autoSpaceDE w:val="0"/>
      <w:autoSpaceDN w:val="0"/>
      <w:adjustRightInd w:val="0"/>
    </w:pPr>
    <w:rPr>
      <w:rFonts w:ascii="IFPAC A+ Univers" w:eastAsia="Times New Roman" w:hAnsi="IFPAC A+ Univers" w:cs="IFPAC A+ Univers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E00F8D"/>
    <w:rPr>
      <w:rFonts w:ascii="CFMAP A+ Univers" w:eastAsia="MS Mincho" w:hAnsi="CFMAP A+ Univers" w:cs="Times New Roman"/>
      <w:color w:val="auto"/>
      <w:lang w:eastAsia="ja-JP"/>
    </w:rPr>
  </w:style>
  <w:style w:type="character" w:styleId="Numrodepage">
    <w:name w:val="page number"/>
    <w:basedOn w:val="Policepardfaut"/>
    <w:rsid w:val="00EA7C02"/>
  </w:style>
  <w:style w:type="paragraph" w:styleId="NormalWeb">
    <w:name w:val="Normal (Web)"/>
    <w:basedOn w:val="Normal"/>
    <w:uiPriority w:val="99"/>
    <w:rsid w:val="00363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w-headline">
    <w:name w:val="mw-headline"/>
    <w:basedOn w:val="Policepardfaut"/>
    <w:rsid w:val="0036397F"/>
  </w:style>
  <w:style w:type="character" w:customStyle="1" w:styleId="apple-converted-space">
    <w:name w:val="apple-converted-space"/>
    <w:basedOn w:val="Policepardfaut"/>
    <w:rsid w:val="00C54D1E"/>
  </w:style>
  <w:style w:type="character" w:styleId="Accentuation">
    <w:name w:val="Emphasis"/>
    <w:uiPriority w:val="20"/>
    <w:qFormat/>
    <w:rsid w:val="00F83642"/>
    <w:rPr>
      <w:i/>
      <w:iCs/>
    </w:rPr>
  </w:style>
  <w:style w:type="paragraph" w:customStyle="1" w:styleId="tiret">
    <w:name w:val="tiret"/>
    <w:basedOn w:val="Normal"/>
    <w:rsid w:val="00714C2D"/>
    <w:pPr>
      <w:spacing w:before="80" w:after="80" w:line="240" w:lineRule="auto"/>
      <w:jc w:val="both"/>
    </w:pPr>
    <w:rPr>
      <w:rFonts w:ascii="Garamond" w:eastAsia="Times New Roman" w:hAnsi="Garamond" w:cs="Garamond"/>
      <w:sz w:val="24"/>
      <w:szCs w:val="24"/>
      <w:lang w:eastAsia="fr-FR"/>
    </w:rPr>
  </w:style>
  <w:style w:type="character" w:customStyle="1" w:styleId="NotedebasdepageCar">
    <w:name w:val="Note de bas de page Car"/>
    <w:link w:val="Notedebasdepage"/>
    <w:semiHidden/>
    <w:locked/>
    <w:rsid w:val="00714C2D"/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34"/>
    <w:qFormat/>
    <w:rsid w:val="00714C2D"/>
    <w:pPr>
      <w:ind w:left="708"/>
    </w:pPr>
    <w:rPr>
      <w:rFonts w:ascii="Proxima Nova Rg" w:hAnsi="Proxima Nova Rg"/>
      <w:lang w:eastAsia="fr-FR"/>
    </w:rPr>
  </w:style>
  <w:style w:type="paragraph" w:customStyle="1" w:styleId="TableParagraph">
    <w:name w:val="Table Paragraph"/>
    <w:basedOn w:val="Normal"/>
    <w:uiPriority w:val="1"/>
    <w:qFormat/>
    <w:rsid w:val="00766165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table" w:styleId="Tableausimple2">
    <w:name w:val="Plain Table 2"/>
    <w:basedOn w:val="TableauNormal"/>
    <w:uiPriority w:val="42"/>
    <w:rsid w:val="007373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Grille1Clair">
    <w:name w:val="Grid Table 1 Light"/>
    <w:basedOn w:val="TableauNormal"/>
    <w:uiPriority w:val="46"/>
    <w:rsid w:val="007373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sdetexte">
    <w:name w:val="Body Text"/>
    <w:basedOn w:val="Normal"/>
    <w:link w:val="CorpsdetexteCar"/>
    <w:uiPriority w:val="1"/>
    <w:qFormat/>
    <w:rsid w:val="00253B88"/>
    <w:pPr>
      <w:widowControl w:val="0"/>
      <w:spacing w:after="0" w:line="240" w:lineRule="auto"/>
      <w:ind w:left="103"/>
    </w:pPr>
    <w:rPr>
      <w:rFonts w:ascii="Times New Roman" w:eastAsia="Times New Roman" w:hAnsi="Times New Roman" w:cstheme="minorBidi"/>
      <w:sz w:val="23"/>
      <w:szCs w:val="23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53B88"/>
    <w:rPr>
      <w:rFonts w:ascii="Times New Roman" w:eastAsia="Times New Roman" w:hAnsi="Times New Roman" w:cstheme="minorBidi"/>
      <w:sz w:val="23"/>
      <w:szCs w:val="23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F24074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7F64D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240E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0EB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0EB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0E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0EB5"/>
    <w:rPr>
      <w:b/>
      <w:bCs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507296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7C7745"/>
    <w:rPr>
      <w:b/>
      <w:bCs/>
    </w:rPr>
  </w:style>
  <w:style w:type="paragraph" w:styleId="Rvision">
    <w:name w:val="Revision"/>
    <w:hidden/>
    <w:uiPriority w:val="99"/>
    <w:semiHidden/>
    <w:rsid w:val="00400B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95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007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4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6811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604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803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2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8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836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fspf.fr/system/files/annexes/circulaires/pharmacien/circ_2018-28c-avenant_13_cn_sign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pf.fr/system/files/annexes/circulaires/pharmacien/circ_2018-28b-avenant_12_ag_signe.pdf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C473-0DF9-4FE6-B27F-D02F98C8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1622</Words>
  <Characters>8923</Characters>
  <Application>Microsoft Office Word</Application>
  <DocSecurity>4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CIRCULAIRE-PRESIDENTS 2014-XX</vt:lpstr>
    </vt:vector>
  </TitlesOfParts>
  <Company/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CIRCULAIRE-PRESIDENTS 2014-XX</dc:title>
  <dc:subject/>
  <dc:creator>WITTEVRONGEL Jocelyne</dc:creator>
  <cp:keywords/>
  <cp:lastModifiedBy>THIMOTEE Georges</cp:lastModifiedBy>
  <cp:revision>2</cp:revision>
  <cp:lastPrinted>2018-04-10T08:43:00Z</cp:lastPrinted>
  <dcterms:created xsi:type="dcterms:W3CDTF">2018-04-12T10:32:00Z</dcterms:created>
  <dcterms:modified xsi:type="dcterms:W3CDTF">2018-04-12T10:32:00Z</dcterms:modified>
</cp:coreProperties>
</file>