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B" w:rsidRPr="00C52481" w:rsidRDefault="00077747" w:rsidP="004D510B">
      <w:pPr>
        <w:spacing w:after="0" w:line="240" w:lineRule="auto"/>
        <w:ind w:firstLine="45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CIRCULAIRE</w:t>
      </w:r>
      <w:bookmarkStart w:id="0" w:name="_GoBack"/>
      <w:bookmarkEnd w:id="0"/>
      <w:r w:rsidR="004D510B" w:rsidRPr="00C52481">
        <w:rPr>
          <w:rFonts w:asciiTheme="minorHAnsi" w:hAnsiTheme="minorHAnsi"/>
          <w:sz w:val="24"/>
          <w:szCs w:val="24"/>
        </w:rPr>
        <w:t xml:space="preserve"> 201</w:t>
      </w:r>
      <w:r w:rsidR="00FB4FA1">
        <w:rPr>
          <w:rFonts w:asciiTheme="minorHAnsi" w:hAnsiTheme="minorHAnsi"/>
          <w:sz w:val="24"/>
          <w:szCs w:val="24"/>
        </w:rPr>
        <w:t>8</w:t>
      </w:r>
      <w:r w:rsidR="004D510B" w:rsidRPr="00C52481">
        <w:rPr>
          <w:rFonts w:asciiTheme="minorHAnsi" w:hAnsiTheme="minorHAnsi"/>
          <w:sz w:val="24"/>
          <w:szCs w:val="24"/>
        </w:rPr>
        <w:t>-</w:t>
      </w:r>
      <w:r w:rsidR="004D2A7E">
        <w:rPr>
          <w:rFonts w:asciiTheme="minorHAnsi" w:hAnsiTheme="minorHAnsi"/>
          <w:sz w:val="24"/>
          <w:szCs w:val="24"/>
        </w:rPr>
        <w:t>76</w:t>
      </w:r>
    </w:p>
    <w:p w:rsidR="004D510B" w:rsidRPr="00C52481" w:rsidRDefault="004D510B" w:rsidP="004D510B">
      <w:pPr>
        <w:spacing w:after="0" w:line="240" w:lineRule="auto"/>
        <w:ind w:right="540" w:firstLine="4500"/>
        <w:jc w:val="right"/>
        <w:rPr>
          <w:rFonts w:asciiTheme="minorHAnsi" w:hAnsiTheme="minorHAnsi"/>
          <w:sz w:val="24"/>
          <w:szCs w:val="24"/>
        </w:rPr>
      </w:pPr>
      <w:r w:rsidRPr="00C52481">
        <w:rPr>
          <w:rFonts w:asciiTheme="minorHAnsi" w:hAnsiTheme="minorHAnsi"/>
          <w:sz w:val="24"/>
          <w:szCs w:val="24"/>
        </w:rPr>
        <w:t>--------------------------------------------</w:t>
      </w:r>
    </w:p>
    <w:p w:rsidR="004D510B" w:rsidRPr="00C52481" w:rsidRDefault="004F5ECD" w:rsidP="004D510B">
      <w:pPr>
        <w:spacing w:after="0" w:line="240" w:lineRule="auto"/>
        <w:ind w:left="5760" w:right="10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</w:t>
      </w:r>
      <w:r w:rsidR="004D510B" w:rsidRPr="00C52481">
        <w:rPr>
          <w:rFonts w:asciiTheme="minorHAnsi" w:hAnsiTheme="minorHAnsi"/>
          <w:sz w:val="24"/>
          <w:szCs w:val="24"/>
        </w:rPr>
        <w:t xml:space="preserve"> </w:t>
      </w:r>
      <w:r w:rsidR="00FB4FA1">
        <w:rPr>
          <w:rFonts w:asciiTheme="minorHAnsi" w:hAnsiTheme="minorHAnsi"/>
          <w:sz w:val="24"/>
          <w:szCs w:val="24"/>
        </w:rPr>
        <w:t>novembre</w:t>
      </w:r>
      <w:r w:rsidR="004D510B" w:rsidRPr="00C52481">
        <w:rPr>
          <w:rFonts w:asciiTheme="minorHAnsi" w:hAnsiTheme="minorHAnsi"/>
          <w:sz w:val="24"/>
          <w:szCs w:val="24"/>
        </w:rPr>
        <w:t xml:space="preserve"> 201</w:t>
      </w:r>
      <w:r w:rsidR="00FB4FA1">
        <w:rPr>
          <w:rFonts w:asciiTheme="minorHAnsi" w:hAnsiTheme="minorHAnsi"/>
          <w:sz w:val="24"/>
          <w:szCs w:val="24"/>
        </w:rPr>
        <w:t>8</w:t>
      </w:r>
    </w:p>
    <w:p w:rsidR="00112090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112090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4D510B" w:rsidRPr="00C52481" w:rsidRDefault="00112090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  <w:r w:rsidRPr="00C52481">
        <w:rPr>
          <w:rFonts w:asciiTheme="minorHAnsi" w:hAnsiTheme="minorHAnsi"/>
          <w:sz w:val="18"/>
          <w:szCs w:val="18"/>
        </w:rPr>
        <w:t>(PF) JC</w:t>
      </w:r>
    </w:p>
    <w:p w:rsidR="00927013" w:rsidRPr="00C52481" w:rsidRDefault="00927013" w:rsidP="004D510B">
      <w:pPr>
        <w:spacing w:after="0" w:line="240" w:lineRule="auto"/>
        <w:ind w:right="1080"/>
        <w:rPr>
          <w:rFonts w:asciiTheme="minorHAnsi" w:hAnsiTheme="minorHAnsi"/>
          <w:sz w:val="18"/>
          <w:szCs w:val="18"/>
        </w:rPr>
      </w:pPr>
    </w:p>
    <w:p w:rsidR="00927013" w:rsidRPr="006C0EDF" w:rsidRDefault="00891741" w:rsidP="0092701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L’</w:t>
      </w:r>
      <w:r w:rsidR="006C0EDF" w:rsidRPr="004F5ECD">
        <w:rPr>
          <w:rFonts w:asciiTheme="minorHAnsi" w:hAnsiTheme="minorHAnsi"/>
          <w:b/>
          <w:sz w:val="32"/>
          <w:szCs w:val="32"/>
        </w:rPr>
        <w:t>arrêté de marge pour 2019 et 2020</w:t>
      </w:r>
      <w:r w:rsidR="00CB6744">
        <w:rPr>
          <w:rFonts w:asciiTheme="minorHAnsi" w:hAnsiTheme="minorHAnsi"/>
          <w:b/>
          <w:sz w:val="32"/>
          <w:szCs w:val="32"/>
        </w:rPr>
        <w:t xml:space="preserve"> en</w:t>
      </w:r>
      <w:r>
        <w:rPr>
          <w:rFonts w:asciiTheme="minorHAnsi" w:hAnsiTheme="minorHAnsi"/>
          <w:b/>
          <w:sz w:val="32"/>
          <w:szCs w:val="32"/>
        </w:rPr>
        <w:t>fin publié</w:t>
      </w:r>
    </w:p>
    <w:p w:rsidR="00927013" w:rsidRPr="00C52481" w:rsidRDefault="00927013" w:rsidP="00927013">
      <w:pPr>
        <w:spacing w:after="0" w:line="240" w:lineRule="auto"/>
        <w:ind w:right="1080"/>
        <w:rPr>
          <w:rFonts w:asciiTheme="minorHAnsi" w:hAnsiTheme="minorHAnsi"/>
        </w:rPr>
      </w:pPr>
    </w:p>
    <w:p w:rsidR="00927013" w:rsidRPr="00C52481" w:rsidRDefault="00E177A6" w:rsidP="00927013">
      <w:pPr>
        <w:spacing w:after="0" w:line="240" w:lineRule="auto"/>
        <w:jc w:val="center"/>
        <w:rPr>
          <w:rFonts w:asciiTheme="minorHAnsi" w:hAnsiTheme="minorHAnsi"/>
          <w:b/>
          <w:i/>
        </w:rPr>
      </w:pPr>
      <w:r w:rsidRPr="00C52481">
        <w:rPr>
          <w:rFonts w:asciiTheme="minorHAnsi" w:hAnsiTheme="minorHAnsi"/>
          <w:b/>
          <w:i/>
        </w:rPr>
        <w:t xml:space="preserve">Publication </w:t>
      </w:r>
      <w:r w:rsidR="00793CF7">
        <w:rPr>
          <w:rFonts w:asciiTheme="minorHAnsi" w:hAnsiTheme="minorHAnsi"/>
          <w:b/>
          <w:i/>
        </w:rPr>
        <w:t>des nouveaux paramètres de l’arrêté de marge</w:t>
      </w:r>
      <w:r w:rsidR="00FB4FA1">
        <w:rPr>
          <w:rFonts w:asciiTheme="minorHAnsi" w:hAnsiTheme="minorHAnsi"/>
          <w:b/>
          <w:i/>
        </w:rPr>
        <w:t xml:space="preserve"> applicabl</w:t>
      </w:r>
      <w:r w:rsidR="00FB4FA1" w:rsidRPr="004F5ECD">
        <w:rPr>
          <w:rFonts w:asciiTheme="minorHAnsi" w:hAnsiTheme="minorHAnsi"/>
          <w:b/>
          <w:i/>
        </w:rPr>
        <w:t>es en 201</w:t>
      </w:r>
      <w:r w:rsidR="006C0EDF" w:rsidRPr="004F5ECD">
        <w:rPr>
          <w:rFonts w:asciiTheme="minorHAnsi" w:hAnsiTheme="minorHAnsi"/>
          <w:b/>
          <w:i/>
        </w:rPr>
        <w:t>9</w:t>
      </w:r>
      <w:r w:rsidR="00FB4FA1" w:rsidRPr="004F5ECD">
        <w:rPr>
          <w:rFonts w:asciiTheme="minorHAnsi" w:hAnsiTheme="minorHAnsi"/>
          <w:b/>
          <w:i/>
        </w:rPr>
        <w:t xml:space="preserve"> et 20</w:t>
      </w:r>
      <w:r w:rsidR="006C0EDF" w:rsidRPr="004F5ECD">
        <w:rPr>
          <w:rFonts w:asciiTheme="minorHAnsi" w:hAnsiTheme="minorHAnsi"/>
          <w:b/>
          <w:i/>
        </w:rPr>
        <w:t>20</w:t>
      </w:r>
    </w:p>
    <w:p w:rsidR="00927013" w:rsidRPr="00C52481" w:rsidRDefault="00927013" w:rsidP="004F5ECD">
      <w:pPr>
        <w:spacing w:after="0" w:line="240" w:lineRule="auto"/>
        <w:rPr>
          <w:rFonts w:asciiTheme="minorHAnsi" w:hAnsiTheme="minorHAnsi"/>
          <w:b/>
          <w:i/>
        </w:rPr>
      </w:pPr>
    </w:p>
    <w:p w:rsidR="002C2364" w:rsidRDefault="00927013" w:rsidP="008B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C52481">
        <w:rPr>
          <w:rFonts w:asciiTheme="minorHAnsi" w:hAnsiTheme="minorHAnsi"/>
          <w:i/>
          <w:sz w:val="20"/>
          <w:szCs w:val="20"/>
        </w:rPr>
        <w:fldChar w:fldCharType="begin"/>
      </w:r>
      <w:r w:rsidRPr="00C52481">
        <w:rPr>
          <w:rFonts w:asciiTheme="minorHAnsi" w:hAnsiTheme="minorHAnsi"/>
          <w:i/>
          <w:sz w:val="20"/>
          <w:szCs w:val="20"/>
        </w:rPr>
        <w:instrText xml:space="preserve"> AUTOTEXTLIST    \* MERGEFORMAT </w:instrText>
      </w:r>
      <w:r w:rsidRPr="00C52481">
        <w:rPr>
          <w:rFonts w:asciiTheme="minorHAnsi" w:hAnsiTheme="minorHAnsi"/>
          <w:i/>
          <w:sz w:val="20"/>
          <w:szCs w:val="20"/>
        </w:rPr>
        <w:fldChar w:fldCharType="separate"/>
      </w:r>
      <w:r w:rsidRPr="00C52481">
        <w:rPr>
          <w:rFonts w:asciiTheme="minorHAnsi" w:hAnsiTheme="minorHAnsi"/>
          <w:i/>
          <w:sz w:val="20"/>
          <w:szCs w:val="20"/>
        </w:rPr>
        <w:t>L'essentiel</w:t>
      </w:r>
      <w:r w:rsidRPr="00C52481">
        <w:rPr>
          <w:rFonts w:asciiTheme="minorHAnsi" w:hAnsiTheme="minorHAnsi"/>
          <w:i/>
          <w:sz w:val="20"/>
          <w:szCs w:val="20"/>
        </w:rPr>
        <w:fldChar w:fldCharType="end"/>
      </w:r>
      <w:r w:rsidRPr="00C52481">
        <w:rPr>
          <w:rFonts w:asciiTheme="minorHAnsi" w:hAnsiTheme="minorHAnsi"/>
          <w:i/>
          <w:sz w:val="20"/>
          <w:szCs w:val="20"/>
        </w:rPr>
        <w:t xml:space="preserve"> : </w:t>
      </w:r>
      <w:r w:rsidR="00B12718">
        <w:rPr>
          <w:rFonts w:asciiTheme="minorHAnsi" w:hAnsiTheme="minorHAnsi"/>
          <w:i/>
          <w:sz w:val="20"/>
          <w:szCs w:val="20"/>
        </w:rPr>
        <w:t>u</w:t>
      </w:r>
      <w:r w:rsidR="000C5838" w:rsidRPr="000C5838">
        <w:rPr>
          <w:rFonts w:asciiTheme="minorHAnsi" w:hAnsiTheme="minorHAnsi"/>
          <w:i/>
          <w:sz w:val="20"/>
          <w:szCs w:val="20"/>
        </w:rPr>
        <w:t>n arrê</w:t>
      </w:r>
      <w:r w:rsidR="00FB4FA1">
        <w:rPr>
          <w:rFonts w:asciiTheme="minorHAnsi" w:hAnsiTheme="minorHAnsi"/>
          <w:i/>
          <w:sz w:val="20"/>
          <w:szCs w:val="20"/>
        </w:rPr>
        <w:t>té du 1</w:t>
      </w:r>
      <w:r w:rsidR="006C0EDF" w:rsidRPr="004F5ECD">
        <w:rPr>
          <w:rFonts w:asciiTheme="minorHAnsi" w:hAnsiTheme="minorHAnsi"/>
          <w:i/>
          <w:sz w:val="20"/>
          <w:szCs w:val="20"/>
        </w:rPr>
        <w:t>2</w:t>
      </w:r>
      <w:r w:rsidR="00FB4FA1">
        <w:rPr>
          <w:rFonts w:asciiTheme="minorHAnsi" w:hAnsiTheme="minorHAnsi"/>
          <w:i/>
          <w:sz w:val="20"/>
          <w:szCs w:val="20"/>
        </w:rPr>
        <w:t xml:space="preserve"> novembre 2018</w:t>
      </w:r>
      <w:r w:rsidR="000C5838">
        <w:rPr>
          <w:rFonts w:asciiTheme="minorHAnsi" w:hAnsiTheme="minorHAnsi"/>
          <w:i/>
          <w:sz w:val="20"/>
          <w:szCs w:val="20"/>
        </w:rPr>
        <w:t xml:space="preserve"> modifie les paramètres de la marge dégressive lissée (MDL). Cet arrêté fait suite à la signature de l’avenant n°11 </w:t>
      </w:r>
      <w:r w:rsidR="000C5838" w:rsidRPr="000C5838">
        <w:rPr>
          <w:rFonts w:asciiTheme="minorHAnsi" w:hAnsiTheme="minorHAnsi"/>
          <w:i/>
          <w:sz w:val="20"/>
          <w:szCs w:val="20"/>
        </w:rPr>
        <w:t xml:space="preserve">à la convention nationale pharmaceutique entre l’Assurance maladie et </w:t>
      </w:r>
      <w:r w:rsidR="000C5838" w:rsidRPr="008774CA">
        <w:rPr>
          <w:rFonts w:asciiTheme="minorHAnsi" w:hAnsiTheme="minorHAnsi"/>
          <w:b/>
          <w:i/>
          <w:sz w:val="20"/>
          <w:szCs w:val="20"/>
        </w:rPr>
        <w:t>un seul</w:t>
      </w:r>
      <w:r w:rsidR="000C5838" w:rsidRPr="000C5838">
        <w:rPr>
          <w:rFonts w:asciiTheme="minorHAnsi" w:hAnsiTheme="minorHAnsi"/>
          <w:i/>
          <w:sz w:val="20"/>
          <w:szCs w:val="20"/>
        </w:rPr>
        <w:t xml:space="preserve"> syndicat, minoritaire</w:t>
      </w:r>
      <w:r w:rsidR="000C5838">
        <w:rPr>
          <w:rFonts w:asciiTheme="minorHAnsi" w:hAnsiTheme="minorHAnsi"/>
          <w:i/>
          <w:sz w:val="20"/>
          <w:szCs w:val="20"/>
        </w:rPr>
        <w:t>.</w:t>
      </w:r>
    </w:p>
    <w:p w:rsidR="007A37E3" w:rsidRDefault="00B12718" w:rsidP="00F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</w:t>
      </w:r>
      <w:r w:rsidR="007A37E3">
        <w:rPr>
          <w:rFonts w:asciiTheme="minorHAnsi" w:hAnsiTheme="minorHAnsi"/>
          <w:i/>
          <w:sz w:val="20"/>
          <w:szCs w:val="20"/>
        </w:rPr>
        <w:t>ette évolution des paramètres de la MDL est un retour en arrière par rapport à ceux présentés lors des négociations conventionnelles d</w:t>
      </w:r>
      <w:r>
        <w:rPr>
          <w:rFonts w:asciiTheme="minorHAnsi" w:hAnsiTheme="minorHAnsi"/>
          <w:i/>
          <w:sz w:val="20"/>
          <w:szCs w:val="20"/>
        </w:rPr>
        <w:t>e 2017. De plus,</w:t>
      </w:r>
      <w:r w:rsidR="007A37E3">
        <w:rPr>
          <w:rFonts w:asciiTheme="minorHAnsi" w:hAnsiTheme="minorHAnsi"/>
          <w:i/>
          <w:sz w:val="20"/>
          <w:szCs w:val="20"/>
        </w:rPr>
        <w:t xml:space="preserve"> le faible engagement financier des pouvoirs publics</w:t>
      </w:r>
      <w:r w:rsidR="00A87556">
        <w:rPr>
          <w:rFonts w:asciiTheme="minorHAnsi" w:hAnsiTheme="minorHAnsi"/>
          <w:i/>
          <w:sz w:val="20"/>
          <w:szCs w:val="20"/>
        </w:rPr>
        <w:t xml:space="preserve"> </w:t>
      </w:r>
      <w:r w:rsidRPr="00B12718">
        <w:rPr>
          <w:rFonts w:asciiTheme="minorHAnsi" w:hAnsiTheme="minorHAnsi"/>
          <w:i/>
          <w:sz w:val="20"/>
          <w:szCs w:val="20"/>
        </w:rPr>
        <w:t>se vérifie</w:t>
      </w:r>
      <w:r w:rsidR="007A37E3">
        <w:rPr>
          <w:rFonts w:asciiTheme="minorHAnsi" w:hAnsiTheme="minorHAnsi"/>
          <w:i/>
          <w:sz w:val="20"/>
          <w:szCs w:val="20"/>
        </w:rPr>
        <w:t>, d’autant plus que les paramètres devant servir de fondements aux nouveaux honoraires introduits en 2019</w:t>
      </w:r>
      <w:r w:rsidR="00A87556">
        <w:rPr>
          <w:rFonts w:asciiTheme="minorHAnsi" w:hAnsiTheme="minorHAnsi"/>
          <w:i/>
          <w:sz w:val="20"/>
          <w:szCs w:val="20"/>
        </w:rPr>
        <w:t>,</w:t>
      </w:r>
      <w:r w:rsidR="007A37E3">
        <w:rPr>
          <w:rFonts w:asciiTheme="minorHAnsi" w:hAnsiTheme="minorHAnsi"/>
          <w:i/>
          <w:sz w:val="20"/>
          <w:szCs w:val="20"/>
        </w:rPr>
        <w:t xml:space="preserve"> puis réévalués en 2020 sont en décroissance depuis le début de l’année 2018.</w:t>
      </w:r>
    </w:p>
    <w:p w:rsidR="002C2364" w:rsidRPr="00C52481" w:rsidRDefault="002C2364" w:rsidP="00F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112090" w:rsidRPr="00C52481" w:rsidRDefault="00927013" w:rsidP="0092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begin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instrText xml:space="preserve"> AUTOTEXTLIST   \* FirstCap  \* MERGEFORMAT </w:instrText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separate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t>Rubriques</w:t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fldChar w:fldCharType="end"/>
      </w:r>
      <w:r w:rsidRPr="00C52481">
        <w:rPr>
          <w:rFonts w:asciiTheme="minorHAnsi" w:hAnsiTheme="minorHAnsi"/>
          <w:bCs/>
          <w:i/>
          <w:iCs/>
          <w:sz w:val="20"/>
          <w:szCs w:val="20"/>
        </w:rPr>
        <w:t xml:space="preserve"> : </w:t>
      </w:r>
      <w:r w:rsidR="0092143F" w:rsidRPr="00C52481">
        <w:rPr>
          <w:rFonts w:asciiTheme="minorHAnsi" w:hAnsiTheme="minorHAnsi"/>
          <w:bCs/>
          <w:i/>
          <w:iCs/>
          <w:sz w:val="20"/>
          <w:szCs w:val="20"/>
        </w:rPr>
        <w:t>métier pharmacien / convention assurance maladie / économie / politique générale</w:t>
      </w:r>
    </w:p>
    <w:p w:rsidR="00C207D1" w:rsidRPr="00017819" w:rsidRDefault="00407EBC" w:rsidP="00793CF7">
      <w:pPr>
        <w:spacing w:after="0" w:line="240" w:lineRule="auto"/>
        <w:jc w:val="both"/>
        <w:rPr>
          <w:rFonts w:eastAsia="Times New Roman" w:cs="IFPAC A+ Univers"/>
        </w:rPr>
      </w:pPr>
      <w:r>
        <w:t>Un arrêté du 1</w:t>
      </w:r>
      <w:r w:rsidR="006C0EDF" w:rsidRPr="004F5ECD">
        <w:t>2</w:t>
      </w:r>
      <w:r w:rsidR="00EF31DD" w:rsidRPr="00EF31DD">
        <w:t xml:space="preserve"> </w:t>
      </w:r>
      <w:r>
        <w:t>novembre 2018</w:t>
      </w:r>
      <w:r w:rsidR="00EF31DD" w:rsidRPr="00EF31DD">
        <w:t xml:space="preserve"> modifiant l’arrêté du 4 août 1987</w:t>
      </w:r>
      <w:r w:rsidR="00596983">
        <w:rPr>
          <w:rStyle w:val="Appelnotedebasdep"/>
        </w:rPr>
        <w:footnoteReference w:id="1"/>
      </w:r>
      <w:r w:rsidR="00EF31DD" w:rsidRPr="00EF31DD">
        <w:t xml:space="preserve"> relatif aux prix et aux marge</w:t>
      </w:r>
      <w:r w:rsidR="00564BA0">
        <w:t>s des médicaments remboursables</w:t>
      </w:r>
      <w:r w:rsidR="00EF31DD">
        <w:t xml:space="preserve"> a été </w:t>
      </w:r>
      <w:r>
        <w:t>publié au Journal Officiel du 15</w:t>
      </w:r>
      <w:r w:rsidR="00EF31DD">
        <w:t xml:space="preserve"> </w:t>
      </w:r>
      <w:r w:rsidR="006C0EDF" w:rsidRPr="004F5ECD">
        <w:t>nov</w:t>
      </w:r>
      <w:r w:rsidR="00EF31DD">
        <w:t xml:space="preserve">embre </w:t>
      </w:r>
      <w:r w:rsidR="004F5ECD">
        <w:t>suivant</w:t>
      </w:r>
      <w:r w:rsidR="00EF31DD">
        <w:rPr>
          <w:rStyle w:val="Appelnotedebasdep"/>
        </w:rPr>
        <w:footnoteReference w:id="2"/>
      </w:r>
      <w:r w:rsidR="00EF31DD">
        <w:t>.</w:t>
      </w:r>
      <w:r w:rsidR="00017819">
        <w:rPr>
          <w:rFonts w:eastAsia="Times New Roman" w:cs="IFPAC A+ Univers"/>
        </w:rPr>
        <w:t xml:space="preserve"> </w:t>
      </w:r>
      <w:r w:rsidR="00EF31DD">
        <w:rPr>
          <w:rFonts w:asciiTheme="minorHAnsi" w:hAnsiTheme="minorHAnsi"/>
        </w:rPr>
        <w:t>Ce dernier</w:t>
      </w:r>
      <w:r>
        <w:rPr>
          <w:rFonts w:asciiTheme="minorHAnsi" w:hAnsiTheme="minorHAnsi"/>
        </w:rPr>
        <w:t xml:space="preserve"> fait suite aux</w:t>
      </w:r>
      <w:r w:rsidR="00DD1C5B">
        <w:rPr>
          <w:rFonts w:asciiTheme="minorHAnsi" w:hAnsiTheme="minorHAnsi"/>
        </w:rPr>
        <w:t xml:space="preserve"> </w:t>
      </w:r>
      <w:r w:rsidR="00C207D1">
        <w:rPr>
          <w:rFonts w:asciiTheme="minorHAnsi" w:hAnsiTheme="minorHAnsi"/>
        </w:rPr>
        <w:t xml:space="preserve">négociations conventionnelles qui ont donné lieu à la signature </w:t>
      </w:r>
      <w:r w:rsidR="00DD1C5B" w:rsidRPr="00793CF7">
        <w:rPr>
          <w:rFonts w:asciiTheme="minorHAnsi" w:hAnsiTheme="minorHAnsi"/>
        </w:rPr>
        <w:t>de l’avenant n°11 à la convention nationale pharmaceutique</w:t>
      </w:r>
      <w:r w:rsidR="00DD1C5B">
        <w:rPr>
          <w:rFonts w:asciiTheme="minorHAnsi" w:hAnsiTheme="minorHAnsi"/>
        </w:rPr>
        <w:t xml:space="preserve"> </w:t>
      </w:r>
      <w:r w:rsidR="00C207D1">
        <w:rPr>
          <w:rFonts w:asciiTheme="minorHAnsi" w:hAnsiTheme="minorHAnsi"/>
        </w:rPr>
        <w:t xml:space="preserve">entre </w:t>
      </w:r>
      <w:r w:rsidR="00C207D1" w:rsidRPr="00793CF7">
        <w:rPr>
          <w:rFonts w:asciiTheme="minorHAnsi" w:hAnsiTheme="minorHAnsi"/>
        </w:rPr>
        <w:t>l’Assurance maladie et</w:t>
      </w:r>
      <w:r w:rsidR="00DD1C5B">
        <w:rPr>
          <w:rFonts w:asciiTheme="minorHAnsi" w:hAnsiTheme="minorHAnsi"/>
        </w:rPr>
        <w:t xml:space="preserve"> un seul syndicat, minoritaire.</w:t>
      </w:r>
      <w:r w:rsidR="00017819">
        <w:rPr>
          <w:rFonts w:asciiTheme="minorHAnsi" w:hAnsiTheme="minorHAnsi"/>
        </w:rPr>
        <w:t xml:space="preserve"> </w:t>
      </w:r>
    </w:p>
    <w:p w:rsidR="00C207D1" w:rsidRDefault="00C207D1" w:rsidP="00793CF7">
      <w:pPr>
        <w:spacing w:after="0" w:line="240" w:lineRule="auto"/>
        <w:jc w:val="both"/>
        <w:rPr>
          <w:rFonts w:asciiTheme="minorHAnsi" w:hAnsiTheme="minorHAnsi"/>
        </w:rPr>
      </w:pPr>
    </w:p>
    <w:p w:rsidR="00477CAE" w:rsidRDefault="00DD1C5B" w:rsidP="00017819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paramètres de marge </w:t>
      </w:r>
      <w:r w:rsidR="00407EBC">
        <w:rPr>
          <w:rFonts w:asciiTheme="minorHAnsi" w:hAnsiTheme="minorHAnsi"/>
        </w:rPr>
        <w:t>actuels, ainsi qu</w:t>
      </w:r>
      <w:r w:rsidR="00B12718">
        <w:rPr>
          <w:rFonts w:asciiTheme="minorHAnsi" w:hAnsiTheme="minorHAnsi"/>
        </w:rPr>
        <w:t>e ceux applicables à compter du</w:t>
      </w:r>
      <w:r w:rsidR="00407EBC">
        <w:rPr>
          <w:rFonts w:asciiTheme="minorHAnsi" w:hAnsiTheme="minorHAnsi"/>
        </w:rPr>
        <w:t xml:space="preserve"> 1</w:t>
      </w:r>
      <w:r w:rsidR="00407EBC" w:rsidRPr="004F5ECD">
        <w:rPr>
          <w:rFonts w:asciiTheme="minorHAnsi" w:hAnsiTheme="minorHAnsi"/>
          <w:vertAlign w:val="superscript"/>
        </w:rPr>
        <w:t>er</w:t>
      </w:r>
      <w:r w:rsidR="004F5ECD">
        <w:rPr>
          <w:rFonts w:asciiTheme="minorHAnsi" w:hAnsiTheme="minorHAnsi"/>
        </w:rPr>
        <w:t xml:space="preserve"> </w:t>
      </w:r>
      <w:r w:rsidR="00407EBC">
        <w:rPr>
          <w:rFonts w:asciiTheme="minorHAnsi" w:hAnsiTheme="minorHAnsi"/>
        </w:rPr>
        <w:t xml:space="preserve">janvier </w:t>
      </w:r>
      <w:r>
        <w:rPr>
          <w:rFonts w:asciiTheme="minorHAnsi" w:hAnsiTheme="minorHAnsi"/>
        </w:rPr>
        <w:t>201</w:t>
      </w:r>
      <w:r w:rsidR="006C0EDF" w:rsidRPr="004F5ECD">
        <w:rPr>
          <w:rFonts w:asciiTheme="minorHAnsi" w:hAnsiTheme="minorHAnsi"/>
        </w:rPr>
        <w:t>9</w:t>
      </w:r>
      <w:r w:rsidR="00A87556">
        <w:rPr>
          <w:rFonts w:asciiTheme="minorHAnsi" w:hAnsiTheme="minorHAnsi"/>
        </w:rPr>
        <w:t>,</w:t>
      </w:r>
      <w:r w:rsidRPr="004F5ECD">
        <w:rPr>
          <w:rFonts w:asciiTheme="minorHAnsi" w:hAnsiTheme="minorHAnsi"/>
        </w:rPr>
        <w:t xml:space="preserve"> </w:t>
      </w:r>
      <w:r w:rsidR="00407EBC" w:rsidRPr="004F5ECD">
        <w:rPr>
          <w:rFonts w:asciiTheme="minorHAnsi" w:hAnsiTheme="minorHAnsi"/>
        </w:rPr>
        <w:t xml:space="preserve">puis </w:t>
      </w:r>
      <w:r w:rsidR="00B12718">
        <w:rPr>
          <w:rFonts w:asciiTheme="minorHAnsi" w:hAnsiTheme="minorHAnsi"/>
        </w:rPr>
        <w:t xml:space="preserve">du </w:t>
      </w:r>
      <w:r w:rsidR="00A87556">
        <w:rPr>
          <w:rFonts w:asciiTheme="minorHAnsi" w:hAnsiTheme="minorHAnsi"/>
        </w:rPr>
        <w:t xml:space="preserve">    </w:t>
      </w:r>
      <w:r w:rsidR="00B12718">
        <w:rPr>
          <w:rFonts w:asciiTheme="minorHAnsi" w:hAnsiTheme="minorHAnsi"/>
        </w:rPr>
        <w:t>1</w:t>
      </w:r>
      <w:r w:rsidR="00B12718" w:rsidRPr="00B12718">
        <w:rPr>
          <w:rFonts w:asciiTheme="minorHAnsi" w:hAnsiTheme="minorHAnsi"/>
          <w:vertAlign w:val="superscript"/>
        </w:rPr>
        <w:t>er</w:t>
      </w:r>
      <w:r w:rsidR="00B12718">
        <w:rPr>
          <w:rFonts w:asciiTheme="minorHAnsi" w:hAnsiTheme="minorHAnsi"/>
        </w:rPr>
        <w:t xml:space="preserve"> janvier </w:t>
      </w:r>
      <w:r w:rsidR="00407EBC" w:rsidRPr="004F5ECD">
        <w:rPr>
          <w:rFonts w:asciiTheme="minorHAnsi" w:hAnsiTheme="minorHAnsi"/>
        </w:rPr>
        <w:t>20</w:t>
      </w:r>
      <w:r w:rsidR="006C0EDF" w:rsidRPr="004F5EC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sont repris dans le tableau ci-dessous</w:t>
      </w:r>
      <w:r w:rsidR="000658AF">
        <w:rPr>
          <w:rStyle w:val="Appelnotedebasdep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 :</w:t>
      </w:r>
    </w:p>
    <w:tbl>
      <w:tblPr>
        <w:tblStyle w:val="Grilledutableau"/>
        <w:tblW w:w="9247" w:type="dxa"/>
        <w:tblLook w:val="0600" w:firstRow="0" w:lastRow="0" w:firstColumn="0" w:lastColumn="0" w:noHBand="1" w:noVBand="1"/>
      </w:tblPr>
      <w:tblGrid>
        <w:gridCol w:w="5711"/>
        <w:gridCol w:w="1008"/>
        <w:gridCol w:w="1223"/>
        <w:gridCol w:w="1305"/>
      </w:tblGrid>
      <w:tr w:rsidR="00407EBC" w:rsidRPr="004F5ECD" w:rsidTr="00017819">
        <w:trPr>
          <w:trHeight w:val="284"/>
        </w:trPr>
        <w:tc>
          <w:tcPr>
            <w:tcW w:w="5711" w:type="dxa"/>
            <w:hideMark/>
          </w:tcPr>
          <w:p w:rsidR="00407EBC" w:rsidRPr="004F5ECD" w:rsidRDefault="00407EBC" w:rsidP="00407EB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08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  <w:lang w:val="is-IS"/>
              </w:rPr>
              <w:t>2018</w:t>
            </w:r>
          </w:p>
        </w:tc>
        <w:tc>
          <w:tcPr>
            <w:tcW w:w="1223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  <w:lang w:val="is-IS"/>
              </w:rPr>
              <w:t>2019</w:t>
            </w:r>
          </w:p>
        </w:tc>
        <w:tc>
          <w:tcPr>
            <w:tcW w:w="1305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  <w:lang w:val="is-IS"/>
              </w:rPr>
              <w:t>2020</w:t>
            </w:r>
          </w:p>
        </w:tc>
      </w:tr>
      <w:tr w:rsidR="00407EBC" w:rsidRPr="004F5ECD" w:rsidTr="008B179F">
        <w:trPr>
          <w:trHeight w:val="397"/>
        </w:trPr>
        <w:tc>
          <w:tcPr>
            <w:tcW w:w="5711" w:type="dxa"/>
            <w:vAlign w:val="center"/>
            <w:hideMark/>
          </w:tcPr>
          <w:p w:rsidR="00407EBC" w:rsidRPr="00017819" w:rsidRDefault="00407EBC" w:rsidP="008B17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Pour la partie du prix fabricant HT (PFHT) </w:t>
            </w:r>
            <w:r w:rsidRPr="00017819">
              <w:rPr>
                <w:rFonts w:asciiTheme="majorHAnsi" w:hAnsiTheme="majorHAnsi"/>
                <w:bCs/>
                <w:sz w:val="18"/>
                <w:szCs w:val="18"/>
                <w:lang w:val="fi-FI"/>
              </w:rPr>
              <w:t>inférieure à</w:t>
            </w: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 1,91 €</w:t>
            </w:r>
          </w:p>
        </w:tc>
        <w:tc>
          <w:tcPr>
            <w:tcW w:w="1008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10 %</w:t>
            </w:r>
          </w:p>
        </w:tc>
        <w:tc>
          <w:tcPr>
            <w:tcW w:w="1223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10 %</w:t>
            </w:r>
          </w:p>
        </w:tc>
        <w:tc>
          <w:tcPr>
            <w:tcW w:w="1305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10 %</w:t>
            </w:r>
          </w:p>
        </w:tc>
      </w:tr>
      <w:tr w:rsidR="00407EBC" w:rsidRPr="004F5ECD" w:rsidTr="008B179F">
        <w:trPr>
          <w:trHeight w:val="397"/>
        </w:trPr>
        <w:tc>
          <w:tcPr>
            <w:tcW w:w="5711" w:type="dxa"/>
            <w:vAlign w:val="center"/>
            <w:hideMark/>
          </w:tcPr>
          <w:p w:rsidR="00407EBC" w:rsidRPr="00017819" w:rsidRDefault="00407EBC" w:rsidP="00017819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Pour la partie du PFHT comprise entre 1,92 et 22,90 €</w:t>
            </w:r>
          </w:p>
        </w:tc>
        <w:tc>
          <w:tcPr>
            <w:tcW w:w="1008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 w:cs="Mangal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21,4 %</w:t>
            </w:r>
          </w:p>
        </w:tc>
        <w:tc>
          <w:tcPr>
            <w:tcW w:w="1223" w:type="dxa"/>
            <w:vAlign w:val="center"/>
            <w:hideMark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 w:cs="Mangal"/>
                <w:b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13 %</w:t>
            </w:r>
          </w:p>
        </w:tc>
        <w:tc>
          <w:tcPr>
            <w:tcW w:w="1305" w:type="dxa"/>
            <w:vAlign w:val="center"/>
            <w:hideMark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 w:cs="Mangal"/>
                <w:b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7 %</w:t>
            </w:r>
          </w:p>
        </w:tc>
      </w:tr>
      <w:tr w:rsidR="00407EBC" w:rsidRPr="004F5ECD" w:rsidTr="008B179F">
        <w:trPr>
          <w:trHeight w:val="397"/>
        </w:trPr>
        <w:tc>
          <w:tcPr>
            <w:tcW w:w="5711" w:type="dxa"/>
            <w:vAlign w:val="center"/>
            <w:hideMark/>
          </w:tcPr>
          <w:p w:rsidR="00407EBC" w:rsidRPr="00017819" w:rsidRDefault="00407EBC" w:rsidP="00017819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Pour la partie du PFHT comprise entre 22,91 et 150,00 €</w:t>
            </w:r>
          </w:p>
        </w:tc>
        <w:tc>
          <w:tcPr>
            <w:tcW w:w="1008" w:type="dxa"/>
            <w:vAlign w:val="center"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sz w:val="18"/>
                <w:szCs w:val="18"/>
              </w:rPr>
              <w:t>8,5 %</w:t>
            </w:r>
          </w:p>
        </w:tc>
        <w:tc>
          <w:tcPr>
            <w:tcW w:w="1223" w:type="dxa"/>
            <w:vAlign w:val="center"/>
          </w:tcPr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/>
                <w:sz w:val="18"/>
                <w:szCs w:val="18"/>
              </w:rPr>
              <w:t>6 %</w:t>
            </w:r>
          </w:p>
        </w:tc>
        <w:tc>
          <w:tcPr>
            <w:tcW w:w="1305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/>
                <w:sz w:val="18"/>
                <w:szCs w:val="18"/>
              </w:rPr>
              <w:t>5,5 %</w:t>
            </w:r>
          </w:p>
        </w:tc>
      </w:tr>
      <w:tr w:rsidR="00407EBC" w:rsidRPr="004F5ECD" w:rsidTr="00176C5F">
        <w:trPr>
          <w:trHeight w:val="410"/>
        </w:trPr>
        <w:tc>
          <w:tcPr>
            <w:tcW w:w="5711" w:type="dxa"/>
            <w:vAlign w:val="center"/>
            <w:hideMark/>
          </w:tcPr>
          <w:p w:rsidR="00407EBC" w:rsidRPr="00017819" w:rsidRDefault="00407EBC" w:rsidP="00017819">
            <w:pPr>
              <w:spacing w:before="120" w:after="12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Pour la partie du prix fabricant HT :</w:t>
            </w:r>
          </w:p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comprise entre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150,01 et 1 515,00 € en 2018</w:t>
            </w:r>
          </w:p>
          <w:p w:rsidR="00407EBC" w:rsidRPr="00017819" w:rsidRDefault="00407EBC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comprise entre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150,01 et 1 600,00 € en 2019</w:t>
            </w:r>
          </w:p>
          <w:p w:rsidR="00613A3F" w:rsidRPr="00017819" w:rsidRDefault="00407EBC" w:rsidP="00017819">
            <w:pPr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comprise entre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150,01 et 1 930,00 € en 2020</w:t>
            </w:r>
          </w:p>
        </w:tc>
        <w:tc>
          <w:tcPr>
            <w:tcW w:w="1008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sz w:val="18"/>
                <w:szCs w:val="18"/>
              </w:rPr>
              <w:t>6 %</w:t>
            </w:r>
          </w:p>
        </w:tc>
        <w:tc>
          <w:tcPr>
            <w:tcW w:w="1223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7819">
              <w:rPr>
                <w:rFonts w:asciiTheme="majorHAnsi" w:hAnsiTheme="majorHAnsi"/>
                <w:sz w:val="18"/>
                <w:szCs w:val="18"/>
              </w:rPr>
              <w:t>6 %</w:t>
            </w:r>
          </w:p>
        </w:tc>
        <w:tc>
          <w:tcPr>
            <w:tcW w:w="1305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/>
                <w:sz w:val="18"/>
                <w:szCs w:val="18"/>
              </w:rPr>
              <w:t>5 %</w:t>
            </w:r>
          </w:p>
        </w:tc>
      </w:tr>
      <w:tr w:rsidR="00407EBC" w:rsidRPr="004F5ECD" w:rsidTr="00017819">
        <w:trPr>
          <w:trHeight w:val="397"/>
        </w:trPr>
        <w:tc>
          <w:tcPr>
            <w:tcW w:w="5711" w:type="dxa"/>
            <w:hideMark/>
          </w:tcPr>
          <w:p w:rsidR="00613A3F" w:rsidRPr="00017819" w:rsidRDefault="00407EBC" w:rsidP="00017819">
            <w:pPr>
              <w:spacing w:before="120" w:after="12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Pour la partie du prix fabricant HT :</w:t>
            </w:r>
          </w:p>
          <w:p w:rsidR="00407EBC" w:rsidRPr="00017819" w:rsidRDefault="00407EBC" w:rsidP="00613A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supérieure à 1 515,00 € en 2018</w:t>
            </w:r>
          </w:p>
          <w:p w:rsidR="00407EBC" w:rsidRPr="00017819" w:rsidRDefault="00407EBC" w:rsidP="00613A3F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supérieure à 1 600,00 € en 2019</w:t>
            </w:r>
          </w:p>
          <w:p w:rsidR="00613A3F" w:rsidRPr="00017819" w:rsidRDefault="00407EBC" w:rsidP="00017819">
            <w:pPr>
              <w:spacing w:after="12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 xml:space="preserve">-  </w:t>
            </w:r>
            <w:r w:rsidRPr="00017819">
              <w:rPr>
                <w:rFonts w:asciiTheme="majorHAnsi" w:hAnsiTheme="majorHAnsi"/>
                <w:b/>
                <w:bCs/>
                <w:sz w:val="18"/>
                <w:szCs w:val="18"/>
              </w:rPr>
              <w:t>supérieure à 1 930,00 € en 2020</w:t>
            </w:r>
          </w:p>
        </w:tc>
        <w:tc>
          <w:tcPr>
            <w:tcW w:w="1008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0 %</w:t>
            </w:r>
          </w:p>
        </w:tc>
        <w:tc>
          <w:tcPr>
            <w:tcW w:w="1223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0 %</w:t>
            </w:r>
          </w:p>
        </w:tc>
        <w:tc>
          <w:tcPr>
            <w:tcW w:w="1305" w:type="dxa"/>
            <w:vAlign w:val="center"/>
          </w:tcPr>
          <w:p w:rsidR="00407EBC" w:rsidRPr="00017819" w:rsidRDefault="00613A3F" w:rsidP="00407EB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17819">
              <w:rPr>
                <w:rFonts w:asciiTheme="majorHAnsi" w:hAnsiTheme="majorHAnsi"/>
                <w:bCs/>
                <w:sz w:val="18"/>
                <w:szCs w:val="18"/>
              </w:rPr>
              <w:t>0 %</w:t>
            </w:r>
          </w:p>
        </w:tc>
      </w:tr>
    </w:tbl>
    <w:p w:rsidR="008347F5" w:rsidRDefault="00C3049C" w:rsidP="00793CF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Ainsi</w:t>
      </w:r>
      <w:r w:rsidR="00613C3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la marge maximale (</w:t>
      </w:r>
      <w:r w:rsidR="00612AB6">
        <w:rPr>
          <w:rFonts w:asciiTheme="minorHAnsi" w:hAnsiTheme="minorHAnsi"/>
        </w:rPr>
        <w:t>sans l’honoraire de dispensation</w:t>
      </w:r>
      <w:r w:rsidR="0001781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612AB6">
        <w:rPr>
          <w:rFonts w:asciiTheme="minorHAnsi" w:hAnsiTheme="minorHAnsi"/>
        </w:rPr>
        <w:t xml:space="preserve">qui </w:t>
      </w:r>
      <w:r>
        <w:rPr>
          <w:rFonts w:asciiTheme="minorHAnsi" w:hAnsiTheme="minorHAnsi"/>
        </w:rPr>
        <w:t>était</w:t>
      </w:r>
      <w:r w:rsidR="008347F5">
        <w:rPr>
          <w:rFonts w:asciiTheme="minorHAnsi" w:hAnsiTheme="minorHAnsi"/>
        </w:rPr>
        <w:t xml:space="preserve"> </w:t>
      </w:r>
      <w:r w:rsidR="00BC14A8">
        <w:rPr>
          <w:rFonts w:asciiTheme="minorHAnsi" w:hAnsiTheme="minorHAnsi"/>
        </w:rPr>
        <w:t xml:space="preserve">de </w:t>
      </w:r>
      <w:r w:rsidR="008347F5">
        <w:rPr>
          <w:rFonts w:asciiTheme="minorHAnsi" w:hAnsiTheme="minorHAnsi"/>
        </w:rPr>
        <w:t>97,39 euros en 2018</w:t>
      </w:r>
      <w:r w:rsidR="00612AB6">
        <w:rPr>
          <w:rFonts w:asciiTheme="minorHAnsi" w:hAnsiTheme="minorHAnsi"/>
        </w:rPr>
        <w:t xml:space="preserve">, passera à </w:t>
      </w:r>
      <w:r w:rsidR="00612AB6">
        <w:rPr>
          <w:rFonts w:asciiTheme="minorHAnsi" w:hAnsiTheme="minorHAnsi"/>
          <w:b/>
          <w:bCs/>
        </w:rPr>
        <w:t>97</w:t>
      </w:r>
      <w:r w:rsidR="00612AB6" w:rsidRPr="00612AB6">
        <w:rPr>
          <w:rFonts w:asciiTheme="minorHAnsi" w:hAnsiTheme="minorHAnsi"/>
          <w:b/>
          <w:bCs/>
        </w:rPr>
        <w:t>,55 euros</w:t>
      </w:r>
      <w:r w:rsidR="00612AB6" w:rsidRPr="00612AB6">
        <w:rPr>
          <w:rFonts w:asciiTheme="minorHAnsi" w:hAnsiTheme="minorHAnsi"/>
        </w:rPr>
        <w:t xml:space="preserve"> </w:t>
      </w:r>
      <w:r w:rsidR="00BC14A8">
        <w:rPr>
          <w:rFonts w:asciiTheme="minorHAnsi" w:hAnsiTheme="minorHAnsi"/>
        </w:rPr>
        <w:t>en 2019</w:t>
      </w:r>
      <w:r w:rsidR="00613C34">
        <w:rPr>
          <w:rFonts w:asciiTheme="minorHAnsi" w:hAnsiTheme="minorHAnsi"/>
        </w:rPr>
        <w:t>,</w:t>
      </w:r>
      <w:r w:rsidR="00BC14A8">
        <w:rPr>
          <w:rFonts w:asciiTheme="minorHAnsi" w:hAnsiTheme="minorHAnsi"/>
        </w:rPr>
        <w:t xml:space="preserve"> puis à </w:t>
      </w:r>
      <w:r w:rsidR="00612AB6">
        <w:rPr>
          <w:rFonts w:asciiTheme="minorHAnsi" w:hAnsiTheme="minorHAnsi"/>
          <w:b/>
          <w:bCs/>
        </w:rPr>
        <w:t>97</w:t>
      </w:r>
      <w:r w:rsidR="00612AB6" w:rsidRPr="00612AB6">
        <w:rPr>
          <w:rFonts w:asciiTheme="minorHAnsi" w:hAnsiTheme="minorHAnsi"/>
          <w:b/>
          <w:bCs/>
        </w:rPr>
        <w:t>,65 euros</w:t>
      </w:r>
      <w:r w:rsidR="00BC14A8">
        <w:rPr>
          <w:rFonts w:asciiTheme="minorHAnsi" w:hAnsiTheme="minorHAnsi"/>
        </w:rPr>
        <w:t xml:space="preserve"> </w:t>
      </w:r>
      <w:r w:rsidR="00612AB6">
        <w:rPr>
          <w:rFonts w:asciiTheme="minorHAnsi" w:hAnsiTheme="minorHAnsi"/>
        </w:rPr>
        <w:t>en 2020</w:t>
      </w:r>
      <w:r w:rsidR="008347F5">
        <w:rPr>
          <w:rFonts w:asciiTheme="minorHAnsi" w:hAnsiTheme="minorHAnsi"/>
        </w:rPr>
        <w:t>, alors qu’</w:t>
      </w:r>
      <w:r w:rsidR="00613A3F">
        <w:rPr>
          <w:rFonts w:asciiTheme="minorHAnsi" w:hAnsiTheme="minorHAnsi"/>
        </w:rPr>
        <w:t>à l’</w:t>
      </w:r>
      <w:r w:rsidR="003F474A">
        <w:rPr>
          <w:rFonts w:asciiTheme="minorHAnsi" w:hAnsiTheme="minorHAnsi"/>
        </w:rPr>
        <w:t>issue de la derniè</w:t>
      </w:r>
      <w:r w:rsidR="00176C5F">
        <w:rPr>
          <w:rFonts w:asciiTheme="minorHAnsi" w:hAnsiTheme="minorHAnsi"/>
        </w:rPr>
        <w:t>re réunion conventionnelle du</w:t>
      </w:r>
      <w:r w:rsidR="003F474A">
        <w:rPr>
          <w:rFonts w:asciiTheme="minorHAnsi" w:hAnsiTheme="minorHAnsi"/>
        </w:rPr>
        <w:t xml:space="preserve"> </w:t>
      </w:r>
      <w:r w:rsidR="003F474A" w:rsidRPr="003F474A">
        <w:rPr>
          <w:rFonts w:asciiTheme="minorHAnsi" w:hAnsiTheme="minorHAnsi"/>
        </w:rPr>
        <w:t>12 juillet 2017</w:t>
      </w:r>
      <w:r w:rsidR="003F474A">
        <w:rPr>
          <w:rFonts w:asciiTheme="minorHAnsi" w:hAnsiTheme="minorHAnsi"/>
        </w:rPr>
        <w:t xml:space="preserve">, </w:t>
      </w:r>
      <w:r w:rsidR="00BC14A8">
        <w:rPr>
          <w:rFonts w:asciiTheme="minorHAnsi" w:hAnsiTheme="minorHAnsi"/>
        </w:rPr>
        <w:t xml:space="preserve">les signataires avaient prévu de ramener </w:t>
      </w:r>
      <w:r w:rsidR="00B12718">
        <w:rPr>
          <w:rFonts w:asciiTheme="minorHAnsi" w:hAnsiTheme="minorHAnsi"/>
        </w:rPr>
        <w:t>cette rémunération maximale à 75,43 euros.</w:t>
      </w:r>
    </w:p>
    <w:p w:rsidR="008347F5" w:rsidRDefault="008347F5" w:rsidP="00793CF7">
      <w:pPr>
        <w:spacing w:after="0" w:line="240" w:lineRule="auto"/>
        <w:jc w:val="both"/>
        <w:rPr>
          <w:rFonts w:asciiTheme="minorHAnsi" w:hAnsiTheme="minorHAnsi"/>
        </w:rPr>
      </w:pPr>
    </w:p>
    <w:p w:rsidR="00C3049C" w:rsidRPr="00B12718" w:rsidRDefault="00B12718" w:rsidP="00793CF7">
      <w:pPr>
        <w:spacing w:after="0" w:line="240" w:lineRule="auto"/>
        <w:jc w:val="both"/>
        <w:rPr>
          <w:rFonts w:asciiTheme="minorHAnsi" w:hAnsiTheme="minorHAnsi"/>
        </w:rPr>
      </w:pPr>
      <w:r w:rsidRPr="00B12718">
        <w:rPr>
          <w:rFonts w:asciiTheme="minorHAnsi" w:hAnsiTheme="minorHAnsi"/>
        </w:rPr>
        <w:t>Pour mémoire, les</w:t>
      </w:r>
      <w:r w:rsidR="008347F5" w:rsidRPr="00B12718">
        <w:rPr>
          <w:rFonts w:asciiTheme="minorHAnsi" w:hAnsiTheme="minorHAnsi"/>
        </w:rPr>
        <w:t xml:space="preserve"> </w:t>
      </w:r>
      <w:r w:rsidR="00C3049C" w:rsidRPr="00B12718">
        <w:rPr>
          <w:rFonts w:asciiTheme="minorHAnsi" w:hAnsiTheme="minorHAnsi"/>
        </w:rPr>
        <w:t xml:space="preserve">paramètres de </w:t>
      </w:r>
      <w:r w:rsidR="00176C5F" w:rsidRPr="00B12718">
        <w:rPr>
          <w:rFonts w:asciiTheme="minorHAnsi" w:hAnsiTheme="minorHAnsi"/>
        </w:rPr>
        <w:t>la MDL</w:t>
      </w:r>
      <w:r w:rsidR="00C3049C" w:rsidRPr="00B12718">
        <w:rPr>
          <w:rFonts w:asciiTheme="minorHAnsi" w:hAnsiTheme="minorHAnsi"/>
        </w:rPr>
        <w:t xml:space="preserve"> </w:t>
      </w:r>
      <w:r w:rsidR="00176C5F" w:rsidRPr="00B12718">
        <w:rPr>
          <w:rFonts w:asciiTheme="minorHAnsi" w:hAnsiTheme="minorHAnsi"/>
        </w:rPr>
        <w:t>proposé</w:t>
      </w:r>
      <w:r w:rsidR="00C3049C" w:rsidRPr="00B12718">
        <w:rPr>
          <w:rFonts w:asciiTheme="minorHAnsi" w:hAnsiTheme="minorHAnsi"/>
        </w:rPr>
        <w:t>s</w:t>
      </w:r>
      <w:r w:rsidR="00176C5F" w:rsidRPr="00B12718">
        <w:rPr>
          <w:rFonts w:asciiTheme="minorHAnsi" w:hAnsiTheme="minorHAnsi"/>
        </w:rPr>
        <w:t xml:space="preserve"> aux partenaires conventionnels</w:t>
      </w:r>
      <w:r w:rsidR="00C3049C" w:rsidRPr="00B12718">
        <w:rPr>
          <w:rFonts w:asciiTheme="minorHAnsi" w:hAnsiTheme="minorHAnsi"/>
        </w:rPr>
        <w:t xml:space="preserve"> </w:t>
      </w:r>
      <w:r w:rsidRPr="00B12718">
        <w:rPr>
          <w:rFonts w:asciiTheme="minorHAnsi" w:hAnsiTheme="minorHAnsi"/>
        </w:rPr>
        <w:t>lors de la dernière réunion de négociation qui s’est tenue le</w:t>
      </w:r>
      <w:r w:rsidR="008347F5" w:rsidRPr="00B12718">
        <w:rPr>
          <w:rFonts w:asciiTheme="minorHAnsi" w:hAnsiTheme="minorHAnsi"/>
        </w:rPr>
        <w:t xml:space="preserve"> 12 juillet 2017</w:t>
      </w:r>
      <w:r w:rsidR="00C3049C" w:rsidRPr="00B1271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sont repris dans le tableau qui suit </w:t>
      </w:r>
      <w:r w:rsidR="00C3049C" w:rsidRPr="00B12718">
        <w:rPr>
          <w:rFonts w:asciiTheme="minorHAnsi" w:hAnsiTheme="minorHAnsi"/>
        </w:rPr>
        <w:t>:</w:t>
      </w:r>
    </w:p>
    <w:p w:rsidR="00B12718" w:rsidRPr="00BC14A8" w:rsidRDefault="00B12718" w:rsidP="00793CF7">
      <w:pPr>
        <w:spacing w:after="0" w:line="240" w:lineRule="auto"/>
        <w:jc w:val="both"/>
        <w:rPr>
          <w:rFonts w:asciiTheme="minorHAnsi" w:hAnsiTheme="minorHAnsi"/>
          <w:b/>
          <w:bCs/>
          <w:i/>
        </w:rPr>
      </w:pPr>
    </w:p>
    <w:tbl>
      <w:tblPr>
        <w:tblStyle w:val="Grilledutableau"/>
        <w:tblW w:w="8963" w:type="dxa"/>
        <w:tblLook w:val="0600" w:firstRow="0" w:lastRow="0" w:firstColumn="0" w:lastColumn="0" w:noHBand="1" w:noVBand="1"/>
      </w:tblPr>
      <w:tblGrid>
        <w:gridCol w:w="5514"/>
        <w:gridCol w:w="1071"/>
        <w:gridCol w:w="1137"/>
        <w:gridCol w:w="1241"/>
      </w:tblGrid>
      <w:tr w:rsidR="00C3049C" w:rsidRPr="001D3F5F" w:rsidTr="000A2C41">
        <w:trPr>
          <w:trHeight w:val="393"/>
        </w:trPr>
        <w:tc>
          <w:tcPr>
            <w:tcW w:w="5514" w:type="dxa"/>
            <w:hideMark/>
          </w:tcPr>
          <w:p w:rsidR="00C3049C" w:rsidRPr="001D3F5F" w:rsidRDefault="00C3049C" w:rsidP="00C3049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  <w:hideMark/>
          </w:tcPr>
          <w:p w:rsidR="00C3049C" w:rsidRPr="001D3F5F" w:rsidRDefault="00C3049C" w:rsidP="00AC1F1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1137" w:type="dxa"/>
            <w:vAlign w:val="center"/>
            <w:hideMark/>
          </w:tcPr>
          <w:p w:rsidR="00C3049C" w:rsidRPr="001D3F5F" w:rsidRDefault="00C3049C" w:rsidP="00AC1F1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1241" w:type="dxa"/>
            <w:vAlign w:val="center"/>
            <w:hideMark/>
          </w:tcPr>
          <w:p w:rsidR="00C3049C" w:rsidRPr="001D3F5F" w:rsidRDefault="00C3049C" w:rsidP="00AC1F1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2020</w:t>
            </w:r>
          </w:p>
        </w:tc>
      </w:tr>
      <w:tr w:rsidR="00C3049C" w:rsidRPr="001D3F5F" w:rsidTr="000A2C41">
        <w:trPr>
          <w:trHeight w:val="393"/>
        </w:trPr>
        <w:tc>
          <w:tcPr>
            <w:tcW w:w="5514" w:type="dxa"/>
            <w:vAlign w:val="center"/>
            <w:hideMark/>
          </w:tcPr>
          <w:p w:rsidR="00C3049C" w:rsidRPr="001D3F5F" w:rsidRDefault="00C3049C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Pour la partie du PFHT inférieure à 1,91 €</w:t>
            </w:r>
          </w:p>
        </w:tc>
        <w:tc>
          <w:tcPr>
            <w:tcW w:w="1071" w:type="dxa"/>
            <w:vAlign w:val="center"/>
          </w:tcPr>
          <w:p w:rsidR="00C3049C" w:rsidRPr="000A2C41" w:rsidRDefault="000A2C41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A2C41">
              <w:rPr>
                <w:rFonts w:asciiTheme="majorHAnsi" w:hAnsiTheme="majorHAnsi"/>
                <w:bCs/>
                <w:sz w:val="18"/>
                <w:szCs w:val="18"/>
              </w:rPr>
              <w:t>11 %</w:t>
            </w:r>
          </w:p>
        </w:tc>
        <w:tc>
          <w:tcPr>
            <w:tcW w:w="1137" w:type="dxa"/>
            <w:vAlign w:val="center"/>
          </w:tcPr>
          <w:p w:rsidR="00C3049C" w:rsidRPr="000A2C41" w:rsidRDefault="000A2C41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A2C41">
              <w:rPr>
                <w:rFonts w:asciiTheme="majorHAnsi" w:hAnsiTheme="majorHAnsi"/>
                <w:bCs/>
                <w:sz w:val="18"/>
                <w:szCs w:val="18"/>
              </w:rPr>
              <w:t>11 %</w:t>
            </w:r>
          </w:p>
        </w:tc>
        <w:tc>
          <w:tcPr>
            <w:tcW w:w="1241" w:type="dxa"/>
            <w:vAlign w:val="center"/>
          </w:tcPr>
          <w:p w:rsidR="00C3049C" w:rsidRPr="000A2C41" w:rsidRDefault="000A2C41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0A2C41">
              <w:rPr>
                <w:rFonts w:asciiTheme="majorHAnsi" w:hAnsiTheme="majorHAnsi"/>
                <w:bCs/>
                <w:sz w:val="18"/>
                <w:szCs w:val="18"/>
              </w:rPr>
              <w:t>11 %</w:t>
            </w:r>
          </w:p>
        </w:tc>
      </w:tr>
      <w:tr w:rsidR="009D7380" w:rsidRPr="001D3F5F" w:rsidTr="000A2C41">
        <w:trPr>
          <w:trHeight w:val="393"/>
        </w:trPr>
        <w:tc>
          <w:tcPr>
            <w:tcW w:w="5514" w:type="dxa"/>
            <w:vAlign w:val="center"/>
            <w:hideMark/>
          </w:tcPr>
          <w:p w:rsidR="009D7380" w:rsidRPr="001D3F5F" w:rsidRDefault="009D7380" w:rsidP="009D738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Pour la partie du PFHT comprise entre 1,92 et 22,90 €</w:t>
            </w:r>
          </w:p>
        </w:tc>
        <w:tc>
          <w:tcPr>
            <w:tcW w:w="1071" w:type="dxa"/>
            <w:vAlign w:val="center"/>
          </w:tcPr>
          <w:p w:rsidR="009D7380" w:rsidRPr="006B63CE" w:rsidRDefault="009D7380" w:rsidP="009D7380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B63CE">
              <w:rPr>
                <w:rFonts w:asciiTheme="majorHAnsi" w:hAnsiTheme="majorHAnsi"/>
                <w:bCs/>
                <w:sz w:val="18"/>
                <w:szCs w:val="18"/>
              </w:rPr>
              <w:t>20,75 %</w:t>
            </w:r>
          </w:p>
        </w:tc>
        <w:tc>
          <w:tcPr>
            <w:tcW w:w="1137" w:type="dxa"/>
            <w:vAlign w:val="center"/>
          </w:tcPr>
          <w:p w:rsidR="009D7380" w:rsidRPr="006B63CE" w:rsidRDefault="009D7380" w:rsidP="009D7380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B63CE">
              <w:rPr>
                <w:rFonts w:asciiTheme="majorHAnsi" w:hAnsiTheme="majorHAnsi"/>
                <w:bCs/>
                <w:sz w:val="18"/>
                <w:szCs w:val="18"/>
              </w:rPr>
              <w:t>12,5 %</w:t>
            </w:r>
          </w:p>
        </w:tc>
        <w:tc>
          <w:tcPr>
            <w:tcW w:w="1241" w:type="dxa"/>
            <w:vAlign w:val="center"/>
          </w:tcPr>
          <w:p w:rsidR="009D7380" w:rsidRPr="006B63CE" w:rsidRDefault="009D7380" w:rsidP="009D7380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B63CE">
              <w:rPr>
                <w:rFonts w:asciiTheme="majorHAnsi" w:hAnsiTheme="majorHAnsi"/>
                <w:bCs/>
                <w:sz w:val="18"/>
                <w:szCs w:val="18"/>
              </w:rPr>
              <w:t>6,5 %</w:t>
            </w:r>
          </w:p>
        </w:tc>
      </w:tr>
      <w:tr w:rsidR="000A2C41" w:rsidRPr="001D3F5F" w:rsidTr="000A2C41">
        <w:trPr>
          <w:trHeight w:val="393"/>
        </w:trPr>
        <w:tc>
          <w:tcPr>
            <w:tcW w:w="5514" w:type="dxa"/>
            <w:vAlign w:val="center"/>
            <w:hideMark/>
          </w:tcPr>
          <w:p w:rsidR="000A2C41" w:rsidRPr="001D3F5F" w:rsidRDefault="000A2C41" w:rsidP="000A2C4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Pour la partie du PFHT comprise entre 22,91 et 150,00 €</w:t>
            </w:r>
          </w:p>
        </w:tc>
        <w:tc>
          <w:tcPr>
            <w:tcW w:w="1071" w:type="dxa"/>
            <w:vAlign w:val="center"/>
          </w:tcPr>
          <w:p w:rsidR="000A2C41" w:rsidRPr="000A2C41" w:rsidRDefault="000A2C41" w:rsidP="000A2C41">
            <w:pPr>
              <w:spacing w:after="0" w:line="240" w:lineRule="auto"/>
              <w:jc w:val="center"/>
              <w:rPr>
                <w:rFonts w:asciiTheme="majorHAnsi" w:hAnsiTheme="majorHAnsi" w:cs="Mangal"/>
                <w:bCs/>
                <w:sz w:val="18"/>
                <w:szCs w:val="18"/>
              </w:rPr>
            </w:pPr>
            <w:r w:rsidRPr="000A2C41">
              <w:rPr>
                <w:rFonts w:asciiTheme="majorHAnsi" w:hAnsiTheme="majorHAnsi" w:cs="Mangal"/>
                <w:bCs/>
                <w:sz w:val="18"/>
                <w:szCs w:val="18"/>
              </w:rPr>
              <w:t>8,5 %</w:t>
            </w:r>
          </w:p>
        </w:tc>
        <w:tc>
          <w:tcPr>
            <w:tcW w:w="1137" w:type="dxa"/>
            <w:vAlign w:val="center"/>
          </w:tcPr>
          <w:p w:rsidR="000A2C41" w:rsidRPr="00891741" w:rsidRDefault="000A2C41" w:rsidP="000A2C41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1741">
              <w:rPr>
                <w:rFonts w:asciiTheme="majorHAnsi" w:hAnsiTheme="majorHAnsi"/>
                <w:bCs/>
                <w:sz w:val="18"/>
                <w:szCs w:val="18"/>
              </w:rPr>
              <w:t>6 %</w:t>
            </w:r>
          </w:p>
        </w:tc>
        <w:tc>
          <w:tcPr>
            <w:tcW w:w="1241" w:type="dxa"/>
            <w:vAlign w:val="center"/>
          </w:tcPr>
          <w:p w:rsidR="000A2C41" w:rsidRPr="00891741" w:rsidRDefault="000A2C41" w:rsidP="000A2C41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1741">
              <w:rPr>
                <w:rFonts w:asciiTheme="majorHAnsi" w:hAnsiTheme="majorHAnsi"/>
                <w:bCs/>
                <w:sz w:val="18"/>
                <w:szCs w:val="18"/>
              </w:rPr>
              <w:t>5 %</w:t>
            </w:r>
          </w:p>
        </w:tc>
      </w:tr>
      <w:tr w:rsidR="00C3049C" w:rsidRPr="001D3F5F" w:rsidTr="000A2C41">
        <w:trPr>
          <w:trHeight w:val="393"/>
        </w:trPr>
        <w:tc>
          <w:tcPr>
            <w:tcW w:w="5514" w:type="dxa"/>
            <w:vAlign w:val="center"/>
            <w:hideMark/>
          </w:tcPr>
          <w:p w:rsidR="00C3049C" w:rsidRPr="001D3F5F" w:rsidRDefault="00C3049C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Pour la partie du PFHT comprise entre 150,01 et 1 515,00 €</w:t>
            </w:r>
          </w:p>
        </w:tc>
        <w:tc>
          <w:tcPr>
            <w:tcW w:w="1071" w:type="dxa"/>
            <w:vAlign w:val="center"/>
            <w:hideMark/>
          </w:tcPr>
          <w:p w:rsidR="00C3049C" w:rsidRPr="00891741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1741">
              <w:rPr>
                <w:rFonts w:asciiTheme="majorHAnsi" w:hAnsiTheme="majorHAnsi"/>
                <w:bCs/>
                <w:sz w:val="18"/>
                <w:szCs w:val="18"/>
              </w:rPr>
              <w:t>6 %</w:t>
            </w:r>
          </w:p>
        </w:tc>
        <w:tc>
          <w:tcPr>
            <w:tcW w:w="1137" w:type="dxa"/>
            <w:vAlign w:val="center"/>
          </w:tcPr>
          <w:p w:rsidR="00C3049C" w:rsidRPr="00891741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1741">
              <w:rPr>
                <w:rFonts w:asciiTheme="majorHAnsi" w:hAnsiTheme="majorHAnsi"/>
                <w:bCs/>
                <w:sz w:val="18"/>
                <w:szCs w:val="18"/>
              </w:rPr>
              <w:t>6 %</w:t>
            </w:r>
          </w:p>
        </w:tc>
        <w:tc>
          <w:tcPr>
            <w:tcW w:w="1241" w:type="dxa"/>
            <w:vAlign w:val="center"/>
          </w:tcPr>
          <w:p w:rsidR="00C3049C" w:rsidRPr="00891741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1741">
              <w:rPr>
                <w:rFonts w:asciiTheme="majorHAnsi" w:hAnsiTheme="majorHAnsi"/>
                <w:bCs/>
                <w:sz w:val="18"/>
                <w:szCs w:val="18"/>
              </w:rPr>
              <w:t>5 %</w:t>
            </w:r>
          </w:p>
        </w:tc>
      </w:tr>
      <w:tr w:rsidR="00C3049C" w:rsidRPr="001D3F5F" w:rsidTr="000A2C41">
        <w:trPr>
          <w:trHeight w:val="393"/>
        </w:trPr>
        <w:tc>
          <w:tcPr>
            <w:tcW w:w="5514" w:type="dxa"/>
            <w:vAlign w:val="center"/>
            <w:hideMark/>
          </w:tcPr>
          <w:p w:rsidR="00C3049C" w:rsidRPr="001D3F5F" w:rsidRDefault="00C3049C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D3F5F">
              <w:rPr>
                <w:rFonts w:asciiTheme="majorHAnsi" w:hAnsiTheme="majorHAnsi"/>
                <w:sz w:val="18"/>
                <w:szCs w:val="18"/>
              </w:rPr>
              <w:t>Pour la partie du PFHT supérieure à 1 515,00 €</w:t>
            </w:r>
          </w:p>
        </w:tc>
        <w:tc>
          <w:tcPr>
            <w:tcW w:w="1071" w:type="dxa"/>
            <w:vAlign w:val="center"/>
            <w:hideMark/>
          </w:tcPr>
          <w:p w:rsidR="00C3049C" w:rsidRPr="001D3F5F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0 %</w:t>
            </w:r>
          </w:p>
        </w:tc>
        <w:tc>
          <w:tcPr>
            <w:tcW w:w="1137" w:type="dxa"/>
            <w:vAlign w:val="center"/>
          </w:tcPr>
          <w:p w:rsidR="00C3049C" w:rsidRPr="001D3F5F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0 %</w:t>
            </w:r>
          </w:p>
        </w:tc>
        <w:tc>
          <w:tcPr>
            <w:tcW w:w="1241" w:type="dxa"/>
            <w:vAlign w:val="center"/>
          </w:tcPr>
          <w:p w:rsidR="00C3049C" w:rsidRPr="001D3F5F" w:rsidRDefault="001D3F5F" w:rsidP="00C3049C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0 %</w:t>
            </w:r>
          </w:p>
        </w:tc>
      </w:tr>
    </w:tbl>
    <w:p w:rsidR="00613A3F" w:rsidRDefault="00613A3F" w:rsidP="00793CF7">
      <w:pPr>
        <w:spacing w:after="0" w:line="240" w:lineRule="auto"/>
        <w:jc w:val="both"/>
        <w:rPr>
          <w:rFonts w:asciiTheme="minorHAnsi" w:hAnsiTheme="minorHAnsi"/>
        </w:rPr>
      </w:pPr>
    </w:p>
    <w:p w:rsidR="008347F5" w:rsidRDefault="008347F5" w:rsidP="00793CF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demande </w:t>
      </w:r>
      <w:r w:rsidR="00BC14A8">
        <w:rPr>
          <w:rFonts w:asciiTheme="minorHAnsi" w:hAnsiTheme="minorHAnsi"/>
        </w:rPr>
        <w:t>réitérée</w:t>
      </w:r>
      <w:r>
        <w:rPr>
          <w:rFonts w:asciiTheme="minorHAnsi" w:hAnsiTheme="minorHAnsi"/>
        </w:rPr>
        <w:t xml:space="preserve"> de la FSPF de ne pas réduire la rémunération maximale a donc été entendue, même si l’on peut regretter l’augmentation des </w:t>
      </w:r>
      <w:r w:rsidR="00BC14A8">
        <w:rPr>
          <w:rFonts w:asciiTheme="minorHAnsi" w:hAnsiTheme="minorHAnsi"/>
        </w:rPr>
        <w:t>seuils à 1</w:t>
      </w:r>
      <w:r w:rsidR="00B12718">
        <w:rPr>
          <w:rFonts w:asciiTheme="minorHAnsi" w:hAnsiTheme="minorHAnsi"/>
        </w:rPr>
        <w:t xml:space="preserve"> </w:t>
      </w:r>
      <w:r w:rsidR="00BC14A8">
        <w:rPr>
          <w:rFonts w:asciiTheme="minorHAnsi" w:hAnsiTheme="minorHAnsi"/>
        </w:rPr>
        <w:t>600</w:t>
      </w:r>
      <w:r w:rsidR="00A87556">
        <w:rPr>
          <w:rFonts w:asciiTheme="minorHAnsi" w:hAnsiTheme="minorHAnsi"/>
        </w:rPr>
        <w:t xml:space="preserve"> euros </w:t>
      </w:r>
      <w:r w:rsidR="00BC14A8">
        <w:rPr>
          <w:rFonts w:asciiTheme="minorHAnsi" w:hAnsiTheme="minorHAnsi"/>
        </w:rPr>
        <w:t>en 2018 puis 1</w:t>
      </w:r>
      <w:r w:rsidR="00B12718">
        <w:rPr>
          <w:rFonts w:asciiTheme="minorHAnsi" w:hAnsiTheme="minorHAnsi"/>
        </w:rPr>
        <w:t xml:space="preserve"> </w:t>
      </w:r>
      <w:r w:rsidR="00BC14A8">
        <w:rPr>
          <w:rFonts w:asciiTheme="minorHAnsi" w:hAnsiTheme="minorHAnsi"/>
        </w:rPr>
        <w:t>930</w:t>
      </w:r>
      <w:r w:rsidR="00A87556">
        <w:rPr>
          <w:rFonts w:asciiTheme="minorHAnsi" w:hAnsiTheme="minorHAnsi"/>
        </w:rPr>
        <w:t xml:space="preserve"> euros</w:t>
      </w:r>
      <w:r w:rsidR="00BC14A8">
        <w:rPr>
          <w:rFonts w:asciiTheme="minorHAnsi" w:hAnsiTheme="minorHAnsi"/>
        </w:rPr>
        <w:t xml:space="preserve"> en 2019, ce qui aura pour conséquence une baisse de marge pour les produits chers compris entre 1</w:t>
      </w:r>
      <w:r w:rsidR="00B12718">
        <w:rPr>
          <w:rFonts w:asciiTheme="minorHAnsi" w:hAnsiTheme="minorHAnsi"/>
        </w:rPr>
        <w:t xml:space="preserve"> </w:t>
      </w:r>
      <w:r w:rsidR="00BC14A8">
        <w:rPr>
          <w:rFonts w:asciiTheme="minorHAnsi" w:hAnsiTheme="minorHAnsi"/>
        </w:rPr>
        <w:t xml:space="preserve">500 </w:t>
      </w:r>
      <w:r w:rsidR="001F4BC0">
        <w:rPr>
          <w:rFonts w:asciiTheme="minorHAnsi" w:hAnsiTheme="minorHAnsi"/>
        </w:rPr>
        <w:t>euros</w:t>
      </w:r>
      <w:r w:rsidR="00BC14A8">
        <w:rPr>
          <w:rFonts w:asciiTheme="minorHAnsi" w:hAnsiTheme="minorHAnsi"/>
        </w:rPr>
        <w:t xml:space="preserve"> et 1</w:t>
      </w:r>
      <w:r w:rsidR="001F4BC0">
        <w:rPr>
          <w:rFonts w:asciiTheme="minorHAnsi" w:hAnsiTheme="minorHAnsi"/>
        </w:rPr>
        <w:t> </w:t>
      </w:r>
      <w:r w:rsidR="00BC14A8">
        <w:rPr>
          <w:rFonts w:asciiTheme="minorHAnsi" w:hAnsiTheme="minorHAnsi"/>
        </w:rPr>
        <w:t>930</w:t>
      </w:r>
      <w:r w:rsidR="001F4BC0">
        <w:rPr>
          <w:rFonts w:asciiTheme="minorHAnsi" w:hAnsiTheme="minorHAnsi"/>
        </w:rPr>
        <w:t xml:space="preserve"> euros</w:t>
      </w:r>
      <w:r w:rsidR="00BC14A8">
        <w:rPr>
          <w:rFonts w:asciiTheme="minorHAnsi" w:hAnsiTheme="minorHAnsi"/>
        </w:rPr>
        <w:t>.</w:t>
      </w:r>
    </w:p>
    <w:p w:rsidR="00C65288" w:rsidRDefault="00C65288" w:rsidP="00793CF7">
      <w:pPr>
        <w:spacing w:after="0" w:line="240" w:lineRule="auto"/>
        <w:jc w:val="both"/>
        <w:rPr>
          <w:rFonts w:asciiTheme="minorHAnsi" w:hAnsiTheme="minorHAnsi"/>
        </w:rPr>
      </w:pPr>
    </w:p>
    <w:p w:rsidR="0064718C" w:rsidRDefault="0064718C" w:rsidP="00793CF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Fédération</w:t>
      </w:r>
      <w:r w:rsidR="00BC14A8">
        <w:rPr>
          <w:rFonts w:asciiTheme="minorHAnsi" w:hAnsiTheme="minorHAnsi"/>
        </w:rPr>
        <w:t xml:space="preserve"> reste</w:t>
      </w:r>
      <w:r>
        <w:rPr>
          <w:rFonts w:asciiTheme="minorHAnsi" w:hAnsiTheme="minorHAnsi"/>
        </w:rPr>
        <w:t xml:space="preserve"> inquiè</w:t>
      </w:r>
      <w:r w:rsidR="00BC14A8">
        <w:rPr>
          <w:rFonts w:asciiTheme="minorHAnsi" w:hAnsiTheme="minorHAnsi"/>
        </w:rPr>
        <w:t xml:space="preserve">te </w:t>
      </w:r>
      <w:r w:rsidR="009D7380">
        <w:rPr>
          <w:rFonts w:asciiTheme="minorHAnsi" w:hAnsiTheme="minorHAnsi"/>
        </w:rPr>
        <w:t xml:space="preserve">des </w:t>
      </w:r>
      <w:r>
        <w:rPr>
          <w:rFonts w:asciiTheme="minorHAnsi" w:hAnsiTheme="minorHAnsi"/>
        </w:rPr>
        <w:t>évolution</w:t>
      </w:r>
      <w:r w:rsidR="009D7380">
        <w:rPr>
          <w:rFonts w:asciiTheme="minorHAnsi" w:hAnsiTheme="minorHAnsi"/>
        </w:rPr>
        <w:t>s suivantes</w:t>
      </w:r>
      <w:r w:rsidR="0081785D">
        <w:rPr>
          <w:rFonts w:asciiTheme="minorHAnsi" w:hAnsiTheme="minorHAnsi"/>
        </w:rPr>
        <w:t> :</w:t>
      </w:r>
    </w:p>
    <w:p w:rsidR="0081785D" w:rsidRDefault="0081785D" w:rsidP="00793CF7">
      <w:pPr>
        <w:spacing w:after="0" w:line="240" w:lineRule="auto"/>
        <w:jc w:val="both"/>
        <w:rPr>
          <w:rFonts w:asciiTheme="minorHAnsi" w:hAnsiTheme="minorHAnsi"/>
        </w:rPr>
      </w:pPr>
    </w:p>
    <w:p w:rsidR="0081785D" w:rsidRDefault="009D7380" w:rsidP="008C2B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modification</w:t>
      </w:r>
      <w:r w:rsidR="0064718C" w:rsidRPr="00B810E6">
        <w:rPr>
          <w:rFonts w:asciiTheme="minorHAnsi" w:hAnsiTheme="minorHAnsi"/>
        </w:rPr>
        <w:t xml:space="preserve"> des paramètres de marge sur 2018 </w:t>
      </w:r>
      <w:r>
        <w:rPr>
          <w:rFonts w:asciiTheme="minorHAnsi" w:hAnsiTheme="minorHAnsi"/>
        </w:rPr>
        <w:t>devai</w:t>
      </w:r>
      <w:r w:rsidR="0081785D" w:rsidRPr="00B810E6">
        <w:rPr>
          <w:rFonts w:asciiTheme="minorHAnsi" w:hAnsiTheme="minorHAnsi"/>
        </w:rPr>
        <w:t>t</w:t>
      </w:r>
      <w:r w:rsidR="0064718C" w:rsidRPr="00B810E6">
        <w:rPr>
          <w:rFonts w:asciiTheme="minorHAnsi" w:hAnsiTheme="minorHAnsi"/>
        </w:rPr>
        <w:t xml:space="preserve"> apporter 70 millions d’euros de gain au réseau offic</w:t>
      </w:r>
      <w:r w:rsidR="0064718C" w:rsidRPr="00017819">
        <w:rPr>
          <w:rFonts w:asciiTheme="minorHAnsi" w:hAnsiTheme="minorHAnsi"/>
        </w:rPr>
        <w:t>inal.</w:t>
      </w:r>
      <w:r w:rsidR="0081785D" w:rsidRPr="00017819">
        <w:rPr>
          <w:rFonts w:asciiTheme="minorHAnsi" w:hAnsiTheme="minorHAnsi"/>
        </w:rPr>
        <w:t xml:space="preserve"> Or, fin septembre, le compte n’y est pas</w:t>
      </w:r>
      <w:r w:rsidR="006C0EDF" w:rsidRPr="00017819">
        <w:rPr>
          <w:rFonts w:asciiTheme="minorHAnsi" w:hAnsiTheme="minorHAnsi"/>
        </w:rPr>
        <w:t xml:space="preserve"> : les baisses de prix et de volumes </w:t>
      </w:r>
      <w:r>
        <w:rPr>
          <w:rFonts w:asciiTheme="minorHAnsi" w:hAnsiTheme="minorHAnsi"/>
        </w:rPr>
        <w:t>vont conduire à une perte de 100 millions d’euros</w:t>
      </w:r>
      <w:r w:rsidR="00017819">
        <w:rPr>
          <w:rFonts w:asciiTheme="minorHAnsi" w:hAnsiTheme="minorHAnsi"/>
        </w:rPr>
        <w:t> ;</w:t>
      </w:r>
    </w:p>
    <w:p w:rsidR="00B810E6" w:rsidRPr="00B810E6" w:rsidRDefault="00B810E6" w:rsidP="00017819">
      <w:pPr>
        <w:pStyle w:val="Paragraphedeliste"/>
        <w:spacing w:after="0" w:line="240" w:lineRule="auto"/>
        <w:ind w:left="643"/>
        <w:jc w:val="both"/>
        <w:rPr>
          <w:rFonts w:asciiTheme="minorHAnsi" w:hAnsiTheme="minorHAnsi"/>
        </w:rPr>
      </w:pPr>
    </w:p>
    <w:p w:rsidR="0064718C" w:rsidRDefault="0081785D" w:rsidP="006471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ordonnances, qui </w:t>
      </w:r>
      <w:r w:rsidR="00B810E6" w:rsidRPr="00017819">
        <w:rPr>
          <w:rFonts w:asciiTheme="minorHAnsi" w:hAnsiTheme="minorHAnsi"/>
        </w:rPr>
        <w:t>sont un</w:t>
      </w:r>
      <w:r w:rsidR="00B810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</w:t>
      </w:r>
      <w:r w:rsidR="00B810E6" w:rsidRPr="0001781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pilier</w:t>
      </w:r>
      <w:r w:rsidR="00B810E6" w:rsidRPr="0001781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B810E6" w:rsidRPr="00017819">
        <w:rPr>
          <w:rFonts w:asciiTheme="minorHAnsi" w:hAnsiTheme="minorHAnsi"/>
        </w:rPr>
        <w:t>des</w:t>
      </w:r>
      <w:r w:rsidR="00B810E6">
        <w:rPr>
          <w:rFonts w:asciiTheme="minorHAnsi" w:hAnsiTheme="minorHAnsi"/>
        </w:rPr>
        <w:t xml:space="preserve"> </w:t>
      </w:r>
      <w:r w:rsidR="001F4BC0">
        <w:rPr>
          <w:rFonts w:asciiTheme="minorHAnsi" w:hAnsiTheme="minorHAnsi"/>
        </w:rPr>
        <w:t>nouveaux honoraires</w:t>
      </w:r>
      <w:r>
        <w:rPr>
          <w:rFonts w:asciiTheme="minorHAnsi" w:hAnsiTheme="minorHAnsi"/>
        </w:rPr>
        <w:t xml:space="preserve"> sont</w:t>
      </w:r>
      <w:r w:rsidR="001F4BC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selon IQVIA</w:t>
      </w:r>
      <w:r w:rsidR="009D738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en baisse régulière depuis le début de l’année.  </w:t>
      </w:r>
    </w:p>
    <w:p w:rsidR="0081785D" w:rsidRPr="0081785D" w:rsidRDefault="0081785D" w:rsidP="0081785D">
      <w:pPr>
        <w:spacing w:after="0" w:line="240" w:lineRule="auto"/>
        <w:jc w:val="both"/>
        <w:rPr>
          <w:rFonts w:asciiTheme="minorHAnsi" w:hAnsiTheme="minorHAnsi"/>
        </w:rPr>
      </w:pPr>
    </w:p>
    <w:p w:rsidR="007A37E3" w:rsidRPr="001D3F5F" w:rsidRDefault="000A2C41" w:rsidP="00176C5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l’heure actuelle, l</w:t>
      </w:r>
      <w:r w:rsidR="0081785D" w:rsidRPr="001D3F5F">
        <w:rPr>
          <w:rFonts w:asciiTheme="minorHAnsi" w:hAnsiTheme="minorHAnsi"/>
        </w:rPr>
        <w:t xml:space="preserve">es décisions de baisses de prix </w:t>
      </w:r>
      <w:r w:rsidR="00017819" w:rsidRPr="001D3F5F">
        <w:rPr>
          <w:rFonts w:asciiTheme="minorHAnsi" w:hAnsiTheme="minorHAnsi"/>
        </w:rPr>
        <w:t xml:space="preserve">mises en œuvre sur </w:t>
      </w:r>
      <w:r>
        <w:rPr>
          <w:rFonts w:asciiTheme="minorHAnsi" w:hAnsiTheme="minorHAnsi"/>
        </w:rPr>
        <w:t>2018 diminuent</w:t>
      </w:r>
      <w:r w:rsidR="00017819" w:rsidRPr="001D3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déjà </w:t>
      </w:r>
      <w:r w:rsidR="00B810E6" w:rsidRPr="001D3F5F">
        <w:rPr>
          <w:rFonts w:asciiTheme="minorHAnsi" w:hAnsiTheme="minorHAnsi"/>
        </w:rPr>
        <w:t>les ressources du réseau de 44 millions d’euros</w:t>
      </w:r>
      <w:r w:rsidR="00017819" w:rsidRPr="001D3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sur</w:t>
      </w:r>
      <w:r w:rsidR="00017819" w:rsidRPr="001D3F5F">
        <w:rPr>
          <w:rFonts w:asciiTheme="minorHAnsi" w:hAnsiTheme="minorHAnsi"/>
        </w:rPr>
        <w:t xml:space="preserve"> 2019</w:t>
      </w:r>
      <w:r w:rsidR="00B810E6" w:rsidRPr="001D3F5F">
        <w:rPr>
          <w:rFonts w:asciiTheme="minorHAnsi" w:hAnsiTheme="minorHAnsi"/>
        </w:rPr>
        <w:t>.</w:t>
      </w:r>
      <w:r w:rsidR="00017819" w:rsidRPr="001D3F5F">
        <w:rPr>
          <w:rFonts w:asciiTheme="minorHAnsi" w:hAnsiTheme="minorHAnsi"/>
        </w:rPr>
        <w:t xml:space="preserve"> </w:t>
      </w:r>
      <w:r w:rsidR="001D3F5F" w:rsidRPr="001D3F5F">
        <w:rPr>
          <w:rFonts w:asciiTheme="minorHAnsi" w:hAnsiTheme="minorHAnsi"/>
        </w:rPr>
        <w:t>Or</w:t>
      </w:r>
      <w:r w:rsidR="009D7380">
        <w:rPr>
          <w:rFonts w:asciiTheme="minorHAnsi" w:hAnsiTheme="minorHAnsi"/>
        </w:rPr>
        <w:t>,</w:t>
      </w:r>
      <w:r w:rsidR="001D3F5F" w:rsidRPr="001D3F5F">
        <w:rPr>
          <w:rFonts w:asciiTheme="minorHAnsi" w:hAnsiTheme="minorHAnsi"/>
        </w:rPr>
        <w:t xml:space="preserve"> d’autres baisses de ressources viennent d’être annoncées. Ainsi, l</w:t>
      </w:r>
      <w:r w:rsidR="0081785D" w:rsidRPr="001D3F5F">
        <w:rPr>
          <w:rFonts w:asciiTheme="minorHAnsi" w:hAnsiTheme="minorHAnsi"/>
        </w:rPr>
        <w:t>e</w:t>
      </w:r>
      <w:r w:rsidR="00626CDD" w:rsidRPr="001D3F5F">
        <w:rPr>
          <w:rFonts w:asciiTheme="minorHAnsi" w:hAnsiTheme="minorHAnsi"/>
        </w:rPr>
        <w:t xml:space="preserve"> CEPS</w:t>
      </w:r>
      <w:r w:rsidR="001F4BC0">
        <w:rPr>
          <w:rFonts w:asciiTheme="minorHAnsi" w:hAnsiTheme="minorHAnsi"/>
        </w:rPr>
        <w:t>,</w:t>
      </w:r>
      <w:r w:rsidR="00626CDD" w:rsidRPr="001D3F5F">
        <w:rPr>
          <w:rFonts w:asciiTheme="minorHAnsi" w:hAnsiTheme="minorHAnsi"/>
        </w:rPr>
        <w:t xml:space="preserve"> </w:t>
      </w:r>
      <w:r w:rsidR="00017819" w:rsidRPr="001D3F5F">
        <w:rPr>
          <w:rFonts w:asciiTheme="minorHAnsi" w:hAnsiTheme="minorHAnsi"/>
        </w:rPr>
        <w:t xml:space="preserve">à l’issue </w:t>
      </w:r>
      <w:r w:rsidR="00B810E6" w:rsidRPr="001D3F5F">
        <w:rPr>
          <w:rFonts w:asciiTheme="minorHAnsi" w:hAnsiTheme="minorHAnsi"/>
        </w:rPr>
        <w:t>du dernier CSG</w:t>
      </w:r>
      <w:r w:rsidR="001F4BC0">
        <w:rPr>
          <w:rFonts w:asciiTheme="minorHAnsi" w:hAnsiTheme="minorHAnsi"/>
        </w:rPr>
        <w:t xml:space="preserve">, </w:t>
      </w:r>
      <w:r w:rsidR="001D3F5F" w:rsidRPr="001D3F5F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arrêté des</w:t>
      </w:r>
      <w:r w:rsidR="001D3F5F" w:rsidRPr="001D3F5F">
        <w:rPr>
          <w:rFonts w:asciiTheme="minorHAnsi" w:hAnsiTheme="minorHAnsi"/>
        </w:rPr>
        <w:t xml:space="preserve"> mesures </w:t>
      </w:r>
      <w:r>
        <w:rPr>
          <w:rFonts w:asciiTheme="minorHAnsi" w:hAnsiTheme="minorHAnsi"/>
        </w:rPr>
        <w:t xml:space="preserve">tarifaires </w:t>
      </w:r>
      <w:r w:rsidR="001D3F5F" w:rsidRPr="001D3F5F">
        <w:rPr>
          <w:rFonts w:asciiTheme="minorHAnsi" w:hAnsiTheme="minorHAnsi"/>
        </w:rPr>
        <w:t>applicables à compter du 2 janvier 2019, qui réduisent les ressources du réseau de 100 millions</w:t>
      </w:r>
      <w:r>
        <w:rPr>
          <w:rFonts w:asciiTheme="minorHAnsi" w:hAnsiTheme="minorHAnsi"/>
        </w:rPr>
        <w:t xml:space="preserve"> d’euros</w:t>
      </w:r>
      <w:r w:rsidR="001D3F5F" w:rsidRPr="001D3F5F">
        <w:rPr>
          <w:rFonts w:asciiTheme="minorHAnsi" w:hAnsiTheme="minorHAnsi"/>
        </w:rPr>
        <w:t xml:space="preserve"> (65 millions au titre de la rémunération réglementée et 35 millions au titre des remises sur les génériques).</w:t>
      </w:r>
    </w:p>
    <w:p w:rsidR="00176C5F" w:rsidRPr="007A37E3" w:rsidRDefault="00176C5F" w:rsidP="00176C5F">
      <w:pPr>
        <w:spacing w:after="0" w:line="240" w:lineRule="auto"/>
        <w:jc w:val="both"/>
        <w:rPr>
          <w:rFonts w:asciiTheme="minorHAnsi" w:hAnsiTheme="minorHAnsi"/>
        </w:rPr>
      </w:pPr>
    </w:p>
    <w:p w:rsidR="007A37E3" w:rsidRDefault="007364C1" w:rsidP="007A37E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</w:t>
      </w:r>
      <w:r w:rsidR="007A37E3">
        <w:rPr>
          <w:rFonts w:asciiTheme="minorHAnsi" w:hAnsiTheme="minorHAnsi"/>
        </w:rPr>
        <w:t xml:space="preserve">a Fédération a toujours été en pointe dans l’évolution du mode de rémunération de la dispensation, en signant </w:t>
      </w:r>
      <w:r>
        <w:rPr>
          <w:rFonts w:asciiTheme="minorHAnsi" w:hAnsiTheme="minorHAnsi"/>
        </w:rPr>
        <w:t xml:space="preserve">notamment </w:t>
      </w:r>
      <w:r w:rsidR="007A37E3">
        <w:rPr>
          <w:rFonts w:asciiTheme="minorHAnsi" w:hAnsiTheme="minorHAnsi"/>
        </w:rPr>
        <w:t>la convention nationale pharmaceut</w:t>
      </w:r>
      <w:r>
        <w:rPr>
          <w:rFonts w:asciiTheme="minorHAnsi" w:hAnsiTheme="minorHAnsi"/>
        </w:rPr>
        <w:t>ique de 2012 et son avenant n°</w:t>
      </w:r>
      <w:r w:rsidR="009D73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5, </w:t>
      </w:r>
      <w:r w:rsidR="007A37E3">
        <w:rPr>
          <w:rFonts w:asciiTheme="minorHAnsi" w:hAnsiTheme="minorHAnsi"/>
        </w:rPr>
        <w:t>les conditions actuelles ne sont pas réunies pour poursuivre dans les meilleures condit</w:t>
      </w:r>
      <w:r w:rsidR="00017819">
        <w:rPr>
          <w:rFonts w:asciiTheme="minorHAnsi" w:hAnsiTheme="minorHAnsi"/>
        </w:rPr>
        <w:t>ions cette évolution nécessaire</w:t>
      </w:r>
      <w:r w:rsidR="009D7380">
        <w:rPr>
          <w:rFonts w:asciiTheme="minorHAnsi" w:hAnsiTheme="minorHAnsi"/>
        </w:rPr>
        <w:t>, faute d’</w:t>
      </w:r>
      <w:r w:rsidR="007A37E3">
        <w:rPr>
          <w:rFonts w:asciiTheme="minorHAnsi" w:hAnsiTheme="minorHAnsi"/>
        </w:rPr>
        <w:t xml:space="preserve">investissement </w:t>
      </w:r>
      <w:r w:rsidR="009D7380">
        <w:rPr>
          <w:rFonts w:asciiTheme="minorHAnsi" w:hAnsiTheme="minorHAnsi"/>
        </w:rPr>
        <w:t xml:space="preserve">suffisant </w:t>
      </w:r>
      <w:r w:rsidR="007A37E3">
        <w:rPr>
          <w:rFonts w:asciiTheme="minorHAnsi" w:hAnsiTheme="minorHAnsi"/>
        </w:rPr>
        <w:t>de la part de l’Assurance Maladie.</w:t>
      </w:r>
    </w:p>
    <w:p w:rsidR="00805EC6" w:rsidRDefault="00805EC6" w:rsidP="00017819">
      <w:pPr>
        <w:spacing w:after="0" w:line="240" w:lineRule="auto"/>
        <w:jc w:val="center"/>
        <w:rPr>
          <w:rFonts w:ascii="Proxima Nova Rg" w:hAnsi="Proxima Nova Rg"/>
        </w:rPr>
      </w:pPr>
      <w:r w:rsidRPr="00714C2D">
        <w:rPr>
          <w:rFonts w:ascii="Proxima Nova Rg" w:hAnsi="Proxima Nova Rg"/>
        </w:rPr>
        <w:t>____________</w:t>
      </w:r>
    </w:p>
    <w:p w:rsidR="00805EC6" w:rsidRPr="00060757" w:rsidRDefault="00805EC6" w:rsidP="00805E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60757">
        <w:rPr>
          <w:rFonts w:asciiTheme="minorHAnsi" w:hAnsiTheme="minorHAnsi"/>
          <w:sz w:val="18"/>
          <w:szCs w:val="18"/>
        </w:rPr>
        <w:t xml:space="preserve">PJ : </w:t>
      </w:r>
      <w:r w:rsidRPr="00060757">
        <w:rPr>
          <w:rFonts w:asciiTheme="minorHAnsi" w:hAnsiTheme="minorHAnsi"/>
          <w:sz w:val="18"/>
          <w:szCs w:val="18"/>
        </w:rPr>
        <w:tab/>
      </w:r>
    </w:p>
    <w:p w:rsidR="000A2C41" w:rsidRPr="00060757" w:rsidRDefault="000A2C41" w:rsidP="000A2C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3CF7" w:rsidRPr="00060757" w:rsidRDefault="00CC27B1" w:rsidP="000A2C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60757">
        <w:rPr>
          <w:rFonts w:asciiTheme="minorHAnsi" w:hAnsiTheme="minorHAnsi"/>
          <w:sz w:val="18"/>
          <w:szCs w:val="18"/>
        </w:rPr>
        <w:t>- Arrêté du 4 août 1987</w:t>
      </w:r>
      <w:r w:rsidR="00A334E4" w:rsidRPr="00060757">
        <w:rPr>
          <w:rFonts w:asciiTheme="minorHAnsi" w:hAnsiTheme="minorHAnsi"/>
          <w:sz w:val="18"/>
          <w:szCs w:val="18"/>
        </w:rPr>
        <w:t xml:space="preserve"> consolidé</w:t>
      </w:r>
      <w:r w:rsidRPr="00060757">
        <w:rPr>
          <w:rFonts w:asciiTheme="minorHAnsi" w:hAnsiTheme="minorHAnsi"/>
          <w:sz w:val="18"/>
          <w:szCs w:val="18"/>
        </w:rPr>
        <w:t xml:space="preserve"> au 1</w:t>
      </w:r>
      <w:r w:rsidRPr="00060757">
        <w:rPr>
          <w:rFonts w:asciiTheme="minorHAnsi" w:hAnsiTheme="minorHAnsi"/>
          <w:sz w:val="18"/>
          <w:szCs w:val="18"/>
          <w:vertAlign w:val="superscript"/>
        </w:rPr>
        <w:t>er</w:t>
      </w:r>
      <w:r w:rsidRPr="00060757">
        <w:rPr>
          <w:rFonts w:asciiTheme="minorHAnsi" w:hAnsiTheme="minorHAnsi"/>
          <w:sz w:val="18"/>
          <w:szCs w:val="18"/>
        </w:rPr>
        <w:t xml:space="preserve"> janvier 2018.</w:t>
      </w:r>
    </w:p>
    <w:sectPr w:rsidR="00793CF7" w:rsidRPr="00060757" w:rsidSect="00BC0BE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418" w:bottom="1418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FE" w:rsidRDefault="000D34FE" w:rsidP="00707C01">
      <w:pPr>
        <w:spacing w:after="0" w:line="240" w:lineRule="auto"/>
      </w:pPr>
      <w:r>
        <w:separator/>
      </w:r>
    </w:p>
  </w:endnote>
  <w:endnote w:type="continuationSeparator" w:id="0">
    <w:p w:rsidR="000D34FE" w:rsidRDefault="000D34FE" w:rsidP="0070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FPAC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MAP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Luminari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88" w:rsidRDefault="00C65288" w:rsidP="00902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5288" w:rsidRDefault="00C65288" w:rsidP="00EA7C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88" w:rsidRDefault="00C65288" w:rsidP="00902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774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65288" w:rsidRDefault="00C65288" w:rsidP="00EA7C0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88" w:rsidRDefault="00C65288">
    <w:pPr>
      <w:pStyle w:val="Pieddepage"/>
    </w:pPr>
    <w:r w:rsidRPr="001D67FC">
      <w:rPr>
        <w:noProof/>
        <w:lang w:eastAsia="fr-FR"/>
      </w:rPr>
      <w:drawing>
        <wp:inline distT="0" distB="0" distL="0" distR="0">
          <wp:extent cx="5764530" cy="397510"/>
          <wp:effectExtent l="0" t="0" r="0" b="0"/>
          <wp:docPr id="4" name="Image 4" descr="C:\Users\wittevrongel\AppData\Local\Microsoft\Windows\Temporary Internet Files\Content.Word\Texte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wittevrongel\AppData\Local\Microsoft\Windows\Temporary Internet Files\Content.Word\Texte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FE" w:rsidRDefault="000D34FE" w:rsidP="00707C01">
      <w:pPr>
        <w:spacing w:after="0" w:line="240" w:lineRule="auto"/>
      </w:pPr>
      <w:r>
        <w:separator/>
      </w:r>
    </w:p>
  </w:footnote>
  <w:footnote w:type="continuationSeparator" w:id="0">
    <w:p w:rsidR="000D34FE" w:rsidRDefault="000D34FE" w:rsidP="00707C01">
      <w:pPr>
        <w:spacing w:after="0" w:line="240" w:lineRule="auto"/>
      </w:pPr>
      <w:r>
        <w:continuationSeparator/>
      </w:r>
    </w:p>
  </w:footnote>
  <w:footnote w:id="1">
    <w:p w:rsidR="00596983" w:rsidRPr="00596983" w:rsidRDefault="00596983">
      <w:pPr>
        <w:pStyle w:val="Notedebasdepage"/>
        <w:rPr>
          <w:rFonts w:asciiTheme="minorHAnsi" w:eastAsia="Calibri" w:hAnsiTheme="minorHAnsi"/>
          <w:lang w:val="fr-FR" w:eastAsia="en-US"/>
        </w:rPr>
      </w:pPr>
      <w:r>
        <w:rPr>
          <w:rStyle w:val="Appelnotedebasdep"/>
        </w:rPr>
        <w:footnoteRef/>
      </w:r>
      <w:r>
        <w:t xml:space="preserve"> </w:t>
      </w:r>
      <w:r w:rsidRPr="00596983">
        <w:rPr>
          <w:rFonts w:asciiTheme="minorHAnsi" w:eastAsia="Calibri" w:hAnsiTheme="minorHAnsi"/>
          <w:lang w:val="fr-FR" w:eastAsia="en-US"/>
        </w:rPr>
        <w:t>Vous trouverez la version consolidée de l’arrêté du 4 août 1987 en annexe à cette circulaire.</w:t>
      </w:r>
    </w:p>
  </w:footnote>
  <w:footnote w:id="2">
    <w:p w:rsidR="00613A3F" w:rsidRPr="00805EC6" w:rsidRDefault="00C65288">
      <w:pPr>
        <w:pStyle w:val="Notedebasdepage"/>
        <w:rPr>
          <w:rFonts w:asciiTheme="minorHAnsi" w:hAnsiTheme="minorHAnsi"/>
        </w:rPr>
      </w:pPr>
      <w:r w:rsidRPr="00805EC6">
        <w:rPr>
          <w:rStyle w:val="Appelnotedebasdep"/>
          <w:rFonts w:asciiTheme="minorHAnsi" w:hAnsiTheme="minorHAnsi"/>
        </w:rPr>
        <w:footnoteRef/>
      </w:r>
      <w:r w:rsidRPr="00805EC6">
        <w:rPr>
          <w:rFonts w:asciiTheme="minorHAnsi" w:hAnsiTheme="minorHAnsi"/>
        </w:rPr>
        <w:t xml:space="preserve"> </w:t>
      </w:r>
      <w:hyperlink r:id="rId1" w:history="1">
        <w:r w:rsidR="00613A3F" w:rsidRPr="0092385E">
          <w:rPr>
            <w:rStyle w:val="Lienhypertexte"/>
            <w:rFonts w:asciiTheme="minorHAnsi" w:hAnsiTheme="minorHAnsi"/>
          </w:rPr>
          <w:t>https://www.legifrance.gouv.fr/jo_pdf.do?id=JORFTEXT000037611571</w:t>
        </w:r>
      </w:hyperlink>
    </w:p>
  </w:footnote>
  <w:footnote w:id="3">
    <w:p w:rsidR="008B179F" w:rsidRDefault="000658AF" w:rsidP="008B179F">
      <w:pPr>
        <w:spacing w:after="0" w:line="240" w:lineRule="auto"/>
        <w:jc w:val="both"/>
      </w:pPr>
      <w:r w:rsidRPr="00805EC6">
        <w:rPr>
          <w:rStyle w:val="Appelnotedebasdep"/>
          <w:rFonts w:asciiTheme="minorHAnsi" w:hAnsiTheme="minorHAnsi"/>
          <w:sz w:val="20"/>
          <w:szCs w:val="20"/>
        </w:rPr>
        <w:footnoteRef/>
      </w:r>
      <w:r w:rsidRPr="00805EC6">
        <w:rPr>
          <w:rFonts w:asciiTheme="minorHAnsi" w:hAnsiTheme="minorHAnsi"/>
          <w:sz w:val="20"/>
          <w:szCs w:val="20"/>
        </w:rPr>
        <w:t xml:space="preserve"> Pour vous permettre de déterminer les effets de ces nouveaux paramètres de la MDL sur la marge officinale, ains</w:t>
      </w:r>
      <w:r w:rsidR="00B12718">
        <w:rPr>
          <w:rFonts w:asciiTheme="minorHAnsi" w:hAnsiTheme="minorHAnsi"/>
          <w:sz w:val="20"/>
          <w:szCs w:val="20"/>
        </w:rPr>
        <w:t>i que sur les prix publics,</w:t>
      </w:r>
      <w:r w:rsidRPr="00805EC6">
        <w:rPr>
          <w:rFonts w:asciiTheme="minorHAnsi" w:hAnsiTheme="minorHAnsi"/>
          <w:sz w:val="20"/>
          <w:szCs w:val="20"/>
        </w:rPr>
        <w:t xml:space="preserve"> un calculateur</w:t>
      </w:r>
      <w:r w:rsidR="006C0EDF">
        <w:rPr>
          <w:rFonts w:asciiTheme="minorHAnsi" w:hAnsiTheme="minorHAnsi"/>
          <w:sz w:val="20"/>
          <w:szCs w:val="20"/>
        </w:rPr>
        <w:t xml:space="preserve"> </w:t>
      </w:r>
      <w:r w:rsidR="006C0EDF" w:rsidRPr="004F5ECD">
        <w:rPr>
          <w:rFonts w:asciiTheme="minorHAnsi" w:hAnsiTheme="minorHAnsi"/>
          <w:sz w:val="20"/>
          <w:szCs w:val="20"/>
        </w:rPr>
        <w:t xml:space="preserve">est </w:t>
      </w:r>
      <w:r w:rsidR="004F5ECD" w:rsidRPr="004F5ECD">
        <w:rPr>
          <w:rFonts w:asciiTheme="minorHAnsi" w:hAnsiTheme="minorHAnsi"/>
          <w:sz w:val="20"/>
          <w:szCs w:val="20"/>
        </w:rPr>
        <w:t xml:space="preserve">accessible en ligne </w:t>
      </w:r>
      <w:r w:rsidR="006C0EDF" w:rsidRPr="004F5ECD">
        <w:rPr>
          <w:rFonts w:asciiTheme="minorHAnsi" w:hAnsiTheme="minorHAnsi"/>
          <w:sz w:val="20"/>
          <w:szCs w:val="20"/>
        </w:rPr>
        <w:t>sur le site de la FSPF</w:t>
      </w:r>
      <w:r w:rsidR="008B179F">
        <w:rPr>
          <w:rFonts w:asciiTheme="minorHAnsi" w:hAnsiTheme="minorHAnsi"/>
          <w:sz w:val="20"/>
          <w:szCs w:val="20"/>
        </w:rPr>
        <w:t xml:space="preserve"> : </w:t>
      </w:r>
      <w:hyperlink r:id="rId2" w:history="1">
        <w:r w:rsidR="008B179F" w:rsidRPr="008B179F">
          <w:rPr>
            <w:rFonts w:asciiTheme="minorHAnsi" w:hAnsiTheme="minorHAnsi"/>
            <w:b/>
            <w:sz w:val="20"/>
            <w:szCs w:val="20"/>
            <w:u w:val="single"/>
          </w:rPr>
          <w:t>http://www.fspf.fr/fspf-services/circulaires/publication-nouveaux-parametres-arrete-marge-applicables-2019-2020</w:t>
        </w:r>
      </w:hyperlink>
    </w:p>
    <w:p w:rsidR="000658AF" w:rsidRPr="00477CAE" w:rsidRDefault="000658AF" w:rsidP="0001781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88" w:rsidRDefault="0007774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1419" o:spid="_x0000_s2050" type="#_x0000_t75" style="position:absolute;margin-left:0;margin-top:0;width:453.4pt;height:311.85pt;z-index:-251658752;mso-position-horizontal:center;mso-position-horizontal-relative:margin;mso-position-vertical:center;mso-position-vertical-relative:margin" o:allowincell="f">
          <v:imagedata r:id="rId1" o:title="filligran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88" w:rsidRDefault="00C65288" w:rsidP="00BC0BE9">
    <w:pPr>
      <w:pStyle w:val="En-tte"/>
      <w:ind w:left="-1134"/>
    </w:pPr>
    <w:r w:rsidRPr="001D67FC">
      <w:rPr>
        <w:noProof/>
        <w:lang w:eastAsia="fr-FR"/>
      </w:rPr>
      <w:drawing>
        <wp:inline distT="0" distB="0" distL="0" distR="0">
          <wp:extent cx="2289810" cy="795020"/>
          <wp:effectExtent l="0" t="0" r="0" b="0"/>
          <wp:docPr id="3" name="Image 3" descr="C:\Users\wittevrongel\AppData\Local\Microsoft\Windows\Temporary Internet Files\Content.Word\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wittevrongel\AppData\Local\Microsoft\Windows\Temporary Internet Files\Content.Word\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74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1420" o:spid="_x0000_s2052" type="#_x0000_t75" style="position:absolute;left:0;text-align:left;margin-left:95.65pt;margin-top:252.6pt;width:562.45pt;height:386.85pt;z-index:-251657728;mso-position-horizontal-relative:margin;mso-position-vertical-relative:margin" o:allowincell="f">
          <v:imagedata r:id="rId2" o:title="filligranne" gain="19661f" blacklevel="22938f"/>
          <w10:wrap anchorx="margin" anchory="margin"/>
        </v:shape>
      </w:pict>
    </w:r>
    <w:r w:rsidR="00077747">
      <w:rPr>
        <w:noProof/>
        <w:lang w:eastAsia="fr-FR"/>
      </w:rPr>
      <w:pict>
        <v:shape id="WordPictureWatermark23721418" o:spid="_x0000_s2049" type="#_x0000_t75" style="position:absolute;left:0;text-align:left;margin-left:0;margin-top:0;width:453.4pt;height:311.85pt;z-index:-251659776;mso-position-horizontal:center;mso-position-horizontal-relative:margin;mso-position-vertical:center;mso-position-vertical-relative:margin" o:allowincell="f">
          <v:imagedata r:id="rId2" o:title="filligran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2090"/>
    <w:multiLevelType w:val="hybridMultilevel"/>
    <w:tmpl w:val="E4D8E006"/>
    <w:lvl w:ilvl="0" w:tplc="C55C1614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color w:val="4D4D4D"/>
        <w:w w:val="133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1"/>
    <w:rsid w:val="00001499"/>
    <w:rsid w:val="00001E23"/>
    <w:rsid w:val="00017819"/>
    <w:rsid w:val="00017C7A"/>
    <w:rsid w:val="00020BC4"/>
    <w:rsid w:val="0002220F"/>
    <w:rsid w:val="00024057"/>
    <w:rsid w:val="00026966"/>
    <w:rsid w:val="00032F58"/>
    <w:rsid w:val="00040759"/>
    <w:rsid w:val="00042415"/>
    <w:rsid w:val="0005285A"/>
    <w:rsid w:val="0005315A"/>
    <w:rsid w:val="000535FD"/>
    <w:rsid w:val="00060757"/>
    <w:rsid w:val="000658AF"/>
    <w:rsid w:val="00065D6E"/>
    <w:rsid w:val="00067EA8"/>
    <w:rsid w:val="000713A3"/>
    <w:rsid w:val="0007225D"/>
    <w:rsid w:val="00074572"/>
    <w:rsid w:val="00077747"/>
    <w:rsid w:val="00083ACC"/>
    <w:rsid w:val="0009050C"/>
    <w:rsid w:val="0009168D"/>
    <w:rsid w:val="000916A5"/>
    <w:rsid w:val="0009447E"/>
    <w:rsid w:val="000A2C41"/>
    <w:rsid w:val="000A6005"/>
    <w:rsid w:val="000B4327"/>
    <w:rsid w:val="000B444D"/>
    <w:rsid w:val="000B46F6"/>
    <w:rsid w:val="000B6AA6"/>
    <w:rsid w:val="000C2D1E"/>
    <w:rsid w:val="000C315A"/>
    <w:rsid w:val="000C43E5"/>
    <w:rsid w:val="000C5838"/>
    <w:rsid w:val="000C5CC8"/>
    <w:rsid w:val="000C60D3"/>
    <w:rsid w:val="000C72D7"/>
    <w:rsid w:val="000D0E86"/>
    <w:rsid w:val="000D12F8"/>
    <w:rsid w:val="000D34FE"/>
    <w:rsid w:val="000D3640"/>
    <w:rsid w:val="000D66E9"/>
    <w:rsid w:val="000E2859"/>
    <w:rsid w:val="000E2A57"/>
    <w:rsid w:val="000E3996"/>
    <w:rsid w:val="000E5B9E"/>
    <w:rsid w:val="000E7A55"/>
    <w:rsid w:val="000F6672"/>
    <w:rsid w:val="000F7FF0"/>
    <w:rsid w:val="001025C7"/>
    <w:rsid w:val="00105150"/>
    <w:rsid w:val="00106AA1"/>
    <w:rsid w:val="0010745A"/>
    <w:rsid w:val="00111CF7"/>
    <w:rsid w:val="00112090"/>
    <w:rsid w:val="0011414E"/>
    <w:rsid w:val="00116179"/>
    <w:rsid w:val="00117159"/>
    <w:rsid w:val="00121065"/>
    <w:rsid w:val="00125EF5"/>
    <w:rsid w:val="0012611F"/>
    <w:rsid w:val="00140642"/>
    <w:rsid w:val="00142D98"/>
    <w:rsid w:val="00142F9F"/>
    <w:rsid w:val="001461F7"/>
    <w:rsid w:val="00150A3F"/>
    <w:rsid w:val="0015484C"/>
    <w:rsid w:val="00156249"/>
    <w:rsid w:val="00156D94"/>
    <w:rsid w:val="0016071F"/>
    <w:rsid w:val="00160858"/>
    <w:rsid w:val="001617C7"/>
    <w:rsid w:val="0016230B"/>
    <w:rsid w:val="00162753"/>
    <w:rsid w:val="0016620F"/>
    <w:rsid w:val="0016678E"/>
    <w:rsid w:val="00166B63"/>
    <w:rsid w:val="00167092"/>
    <w:rsid w:val="001710BF"/>
    <w:rsid w:val="0017550A"/>
    <w:rsid w:val="00176C5F"/>
    <w:rsid w:val="001821E6"/>
    <w:rsid w:val="001839D4"/>
    <w:rsid w:val="001855DB"/>
    <w:rsid w:val="001871C9"/>
    <w:rsid w:val="001872A4"/>
    <w:rsid w:val="0019251C"/>
    <w:rsid w:val="001950DB"/>
    <w:rsid w:val="001964E6"/>
    <w:rsid w:val="001A159E"/>
    <w:rsid w:val="001A56FC"/>
    <w:rsid w:val="001B0A6B"/>
    <w:rsid w:val="001B2B57"/>
    <w:rsid w:val="001B530D"/>
    <w:rsid w:val="001D3E27"/>
    <w:rsid w:val="001D3F5F"/>
    <w:rsid w:val="001D785B"/>
    <w:rsid w:val="001E0347"/>
    <w:rsid w:val="001E11DF"/>
    <w:rsid w:val="001E2327"/>
    <w:rsid w:val="001E6E6C"/>
    <w:rsid w:val="001E7A6B"/>
    <w:rsid w:val="001F1300"/>
    <w:rsid w:val="001F434E"/>
    <w:rsid w:val="001F4BC0"/>
    <w:rsid w:val="00200C94"/>
    <w:rsid w:val="00202003"/>
    <w:rsid w:val="00202846"/>
    <w:rsid w:val="00204750"/>
    <w:rsid w:val="00226F9C"/>
    <w:rsid w:val="00227262"/>
    <w:rsid w:val="00230A8C"/>
    <w:rsid w:val="00234325"/>
    <w:rsid w:val="00240638"/>
    <w:rsid w:val="00240EB5"/>
    <w:rsid w:val="002422FF"/>
    <w:rsid w:val="002434F5"/>
    <w:rsid w:val="00245AF8"/>
    <w:rsid w:val="00250A81"/>
    <w:rsid w:val="00251FA1"/>
    <w:rsid w:val="00253B88"/>
    <w:rsid w:val="002551FA"/>
    <w:rsid w:val="00255968"/>
    <w:rsid w:val="002565A9"/>
    <w:rsid w:val="002648B4"/>
    <w:rsid w:val="00264E60"/>
    <w:rsid w:val="002650D4"/>
    <w:rsid w:val="002662AB"/>
    <w:rsid w:val="00266C06"/>
    <w:rsid w:val="00266CF9"/>
    <w:rsid w:val="00266EC5"/>
    <w:rsid w:val="00270456"/>
    <w:rsid w:val="00275B60"/>
    <w:rsid w:val="0027694E"/>
    <w:rsid w:val="002776FE"/>
    <w:rsid w:val="00277FC2"/>
    <w:rsid w:val="002806E5"/>
    <w:rsid w:val="00280F29"/>
    <w:rsid w:val="002825D4"/>
    <w:rsid w:val="00282D73"/>
    <w:rsid w:val="00283BDE"/>
    <w:rsid w:val="002935E2"/>
    <w:rsid w:val="00297B57"/>
    <w:rsid w:val="002A1CEC"/>
    <w:rsid w:val="002A28E7"/>
    <w:rsid w:val="002A30C9"/>
    <w:rsid w:val="002A41F7"/>
    <w:rsid w:val="002B039D"/>
    <w:rsid w:val="002B562A"/>
    <w:rsid w:val="002B5751"/>
    <w:rsid w:val="002C19B4"/>
    <w:rsid w:val="002C2364"/>
    <w:rsid w:val="002C4896"/>
    <w:rsid w:val="002D0633"/>
    <w:rsid w:val="002D17F2"/>
    <w:rsid w:val="002D2F87"/>
    <w:rsid w:val="002E2F1C"/>
    <w:rsid w:val="002E4053"/>
    <w:rsid w:val="002E42D1"/>
    <w:rsid w:val="002E4FB1"/>
    <w:rsid w:val="002E6A0C"/>
    <w:rsid w:val="002F5067"/>
    <w:rsid w:val="00302BB6"/>
    <w:rsid w:val="0030355F"/>
    <w:rsid w:val="0030564D"/>
    <w:rsid w:val="003061F7"/>
    <w:rsid w:val="00310268"/>
    <w:rsid w:val="00310F6F"/>
    <w:rsid w:val="00311003"/>
    <w:rsid w:val="0031164A"/>
    <w:rsid w:val="00314C6C"/>
    <w:rsid w:val="00316BBD"/>
    <w:rsid w:val="00321EB4"/>
    <w:rsid w:val="0032484B"/>
    <w:rsid w:val="003253ED"/>
    <w:rsid w:val="00325975"/>
    <w:rsid w:val="00326B7D"/>
    <w:rsid w:val="00330A4F"/>
    <w:rsid w:val="00332353"/>
    <w:rsid w:val="003431B3"/>
    <w:rsid w:val="003436F7"/>
    <w:rsid w:val="00345A09"/>
    <w:rsid w:val="0034749D"/>
    <w:rsid w:val="0035266D"/>
    <w:rsid w:val="00352864"/>
    <w:rsid w:val="003539FB"/>
    <w:rsid w:val="00355905"/>
    <w:rsid w:val="0035612F"/>
    <w:rsid w:val="00356892"/>
    <w:rsid w:val="00360B17"/>
    <w:rsid w:val="00360CB1"/>
    <w:rsid w:val="0036397F"/>
    <w:rsid w:val="0036477A"/>
    <w:rsid w:val="00366821"/>
    <w:rsid w:val="00367928"/>
    <w:rsid w:val="003711A9"/>
    <w:rsid w:val="003719D8"/>
    <w:rsid w:val="00371D1B"/>
    <w:rsid w:val="00375A88"/>
    <w:rsid w:val="00375D57"/>
    <w:rsid w:val="003768F8"/>
    <w:rsid w:val="00377762"/>
    <w:rsid w:val="003820E9"/>
    <w:rsid w:val="003852EA"/>
    <w:rsid w:val="003869B6"/>
    <w:rsid w:val="00392315"/>
    <w:rsid w:val="003945A0"/>
    <w:rsid w:val="003959DF"/>
    <w:rsid w:val="003A2A5E"/>
    <w:rsid w:val="003A52E1"/>
    <w:rsid w:val="003A5D4C"/>
    <w:rsid w:val="003B0199"/>
    <w:rsid w:val="003B3358"/>
    <w:rsid w:val="003B3C10"/>
    <w:rsid w:val="003B412C"/>
    <w:rsid w:val="003B4146"/>
    <w:rsid w:val="003B620A"/>
    <w:rsid w:val="003B6C27"/>
    <w:rsid w:val="003C1782"/>
    <w:rsid w:val="003C2122"/>
    <w:rsid w:val="003C3082"/>
    <w:rsid w:val="003D1ED7"/>
    <w:rsid w:val="003D2295"/>
    <w:rsid w:val="003D345F"/>
    <w:rsid w:val="003D597D"/>
    <w:rsid w:val="003D7AF6"/>
    <w:rsid w:val="003E280C"/>
    <w:rsid w:val="003E2FD7"/>
    <w:rsid w:val="003E3D8A"/>
    <w:rsid w:val="003E72C6"/>
    <w:rsid w:val="003F1DAD"/>
    <w:rsid w:val="003F248F"/>
    <w:rsid w:val="003F474A"/>
    <w:rsid w:val="003F6A01"/>
    <w:rsid w:val="00407EBC"/>
    <w:rsid w:val="004107D2"/>
    <w:rsid w:val="004118AA"/>
    <w:rsid w:val="00413879"/>
    <w:rsid w:val="00427348"/>
    <w:rsid w:val="0043198C"/>
    <w:rsid w:val="00435DDB"/>
    <w:rsid w:val="0044134D"/>
    <w:rsid w:val="00441FA1"/>
    <w:rsid w:val="00452D10"/>
    <w:rsid w:val="00453AA0"/>
    <w:rsid w:val="0045717C"/>
    <w:rsid w:val="00463E87"/>
    <w:rsid w:val="004652ED"/>
    <w:rsid w:val="00466BD8"/>
    <w:rsid w:val="00477C44"/>
    <w:rsid w:val="00477CAE"/>
    <w:rsid w:val="00486979"/>
    <w:rsid w:val="00490188"/>
    <w:rsid w:val="004A3AB6"/>
    <w:rsid w:val="004A6D28"/>
    <w:rsid w:val="004B0588"/>
    <w:rsid w:val="004B39AD"/>
    <w:rsid w:val="004B6005"/>
    <w:rsid w:val="004B63B7"/>
    <w:rsid w:val="004B692A"/>
    <w:rsid w:val="004B742E"/>
    <w:rsid w:val="004D09D9"/>
    <w:rsid w:val="004D265A"/>
    <w:rsid w:val="004D2A7E"/>
    <w:rsid w:val="004D4725"/>
    <w:rsid w:val="004D510B"/>
    <w:rsid w:val="004E0DAF"/>
    <w:rsid w:val="004E123C"/>
    <w:rsid w:val="004E3E5D"/>
    <w:rsid w:val="004E6EE6"/>
    <w:rsid w:val="004E7576"/>
    <w:rsid w:val="004F28E9"/>
    <w:rsid w:val="004F2DCF"/>
    <w:rsid w:val="004F40EC"/>
    <w:rsid w:val="004F5ECD"/>
    <w:rsid w:val="004F7A1F"/>
    <w:rsid w:val="00501D32"/>
    <w:rsid w:val="00501EF7"/>
    <w:rsid w:val="00503D20"/>
    <w:rsid w:val="0050496D"/>
    <w:rsid w:val="00511FF4"/>
    <w:rsid w:val="00516B4F"/>
    <w:rsid w:val="005255AE"/>
    <w:rsid w:val="00526AD1"/>
    <w:rsid w:val="0052764C"/>
    <w:rsid w:val="00527A06"/>
    <w:rsid w:val="005343C9"/>
    <w:rsid w:val="0054488F"/>
    <w:rsid w:val="00544D99"/>
    <w:rsid w:val="00547AE1"/>
    <w:rsid w:val="00551124"/>
    <w:rsid w:val="0055120C"/>
    <w:rsid w:val="00551530"/>
    <w:rsid w:val="00552939"/>
    <w:rsid w:val="00552DEC"/>
    <w:rsid w:val="00553CAE"/>
    <w:rsid w:val="00554DA3"/>
    <w:rsid w:val="0055582A"/>
    <w:rsid w:val="00555952"/>
    <w:rsid w:val="00560C8B"/>
    <w:rsid w:val="00564BA0"/>
    <w:rsid w:val="005659E5"/>
    <w:rsid w:val="00565E8C"/>
    <w:rsid w:val="00567A7F"/>
    <w:rsid w:val="00577464"/>
    <w:rsid w:val="00581DB7"/>
    <w:rsid w:val="0058343F"/>
    <w:rsid w:val="00590DA1"/>
    <w:rsid w:val="00593A2E"/>
    <w:rsid w:val="00595EC1"/>
    <w:rsid w:val="00596983"/>
    <w:rsid w:val="00597DDD"/>
    <w:rsid w:val="005A349E"/>
    <w:rsid w:val="005A4C1F"/>
    <w:rsid w:val="005B709D"/>
    <w:rsid w:val="005C2494"/>
    <w:rsid w:val="005C258C"/>
    <w:rsid w:val="005C3923"/>
    <w:rsid w:val="005C5A8A"/>
    <w:rsid w:val="005D049A"/>
    <w:rsid w:val="005D723B"/>
    <w:rsid w:val="005E18C4"/>
    <w:rsid w:val="005E27D7"/>
    <w:rsid w:val="005E3D2C"/>
    <w:rsid w:val="005F5A61"/>
    <w:rsid w:val="005F7A7D"/>
    <w:rsid w:val="006005BA"/>
    <w:rsid w:val="00604CDB"/>
    <w:rsid w:val="0060520E"/>
    <w:rsid w:val="00607CD5"/>
    <w:rsid w:val="00612AB6"/>
    <w:rsid w:val="00613407"/>
    <w:rsid w:val="00613A3F"/>
    <w:rsid w:val="00613C34"/>
    <w:rsid w:val="00621F1C"/>
    <w:rsid w:val="006222C7"/>
    <w:rsid w:val="00622D8F"/>
    <w:rsid w:val="006235AB"/>
    <w:rsid w:val="00625974"/>
    <w:rsid w:val="00626601"/>
    <w:rsid w:val="00626887"/>
    <w:rsid w:val="00626CDD"/>
    <w:rsid w:val="00631BBD"/>
    <w:rsid w:val="006320C5"/>
    <w:rsid w:val="006443FA"/>
    <w:rsid w:val="0064718C"/>
    <w:rsid w:val="00650FF4"/>
    <w:rsid w:val="00651002"/>
    <w:rsid w:val="0065386E"/>
    <w:rsid w:val="00653FEF"/>
    <w:rsid w:val="006565BC"/>
    <w:rsid w:val="00657D7F"/>
    <w:rsid w:val="00663193"/>
    <w:rsid w:val="0066383D"/>
    <w:rsid w:val="00671812"/>
    <w:rsid w:val="00675BED"/>
    <w:rsid w:val="006836A2"/>
    <w:rsid w:val="006841F5"/>
    <w:rsid w:val="0069114B"/>
    <w:rsid w:val="00693447"/>
    <w:rsid w:val="006A36AB"/>
    <w:rsid w:val="006A634F"/>
    <w:rsid w:val="006A67C5"/>
    <w:rsid w:val="006B55B6"/>
    <w:rsid w:val="006C0CA1"/>
    <w:rsid w:val="006C0EDF"/>
    <w:rsid w:val="006D2BF9"/>
    <w:rsid w:val="006D393F"/>
    <w:rsid w:val="006D4559"/>
    <w:rsid w:val="006D5B79"/>
    <w:rsid w:val="006E39C0"/>
    <w:rsid w:val="006E39EA"/>
    <w:rsid w:val="006E4129"/>
    <w:rsid w:val="006F23C1"/>
    <w:rsid w:val="007000DB"/>
    <w:rsid w:val="00704DD6"/>
    <w:rsid w:val="00705371"/>
    <w:rsid w:val="00706302"/>
    <w:rsid w:val="00707C01"/>
    <w:rsid w:val="00714C2D"/>
    <w:rsid w:val="00714C53"/>
    <w:rsid w:val="00717446"/>
    <w:rsid w:val="00717D1E"/>
    <w:rsid w:val="00726CDF"/>
    <w:rsid w:val="00727217"/>
    <w:rsid w:val="00732F48"/>
    <w:rsid w:val="0073334F"/>
    <w:rsid w:val="00735261"/>
    <w:rsid w:val="007364C1"/>
    <w:rsid w:val="0073738D"/>
    <w:rsid w:val="00737EA3"/>
    <w:rsid w:val="00742C9E"/>
    <w:rsid w:val="0074319D"/>
    <w:rsid w:val="007506F5"/>
    <w:rsid w:val="007517F2"/>
    <w:rsid w:val="0075516C"/>
    <w:rsid w:val="007553AC"/>
    <w:rsid w:val="00760866"/>
    <w:rsid w:val="0076306C"/>
    <w:rsid w:val="00765371"/>
    <w:rsid w:val="00766165"/>
    <w:rsid w:val="00767EFB"/>
    <w:rsid w:val="007703F5"/>
    <w:rsid w:val="00771E76"/>
    <w:rsid w:val="00772AD9"/>
    <w:rsid w:val="0077309D"/>
    <w:rsid w:val="0077535E"/>
    <w:rsid w:val="00780446"/>
    <w:rsid w:val="00781E74"/>
    <w:rsid w:val="00787BBD"/>
    <w:rsid w:val="00790FB0"/>
    <w:rsid w:val="00793CF7"/>
    <w:rsid w:val="00793F8C"/>
    <w:rsid w:val="00796B9F"/>
    <w:rsid w:val="00796C3B"/>
    <w:rsid w:val="00797057"/>
    <w:rsid w:val="007A37E3"/>
    <w:rsid w:val="007A419D"/>
    <w:rsid w:val="007A627F"/>
    <w:rsid w:val="007A6B78"/>
    <w:rsid w:val="007A6D7D"/>
    <w:rsid w:val="007A7C5D"/>
    <w:rsid w:val="007B2B57"/>
    <w:rsid w:val="007B7AA1"/>
    <w:rsid w:val="007C0CE3"/>
    <w:rsid w:val="007C1452"/>
    <w:rsid w:val="007C1964"/>
    <w:rsid w:val="007C2AD3"/>
    <w:rsid w:val="007C6344"/>
    <w:rsid w:val="007C6A4F"/>
    <w:rsid w:val="007D575B"/>
    <w:rsid w:val="007E01BD"/>
    <w:rsid w:val="007E1516"/>
    <w:rsid w:val="007E227E"/>
    <w:rsid w:val="007E56E1"/>
    <w:rsid w:val="007F1B3C"/>
    <w:rsid w:val="007F64DD"/>
    <w:rsid w:val="0080082D"/>
    <w:rsid w:val="00805EC6"/>
    <w:rsid w:val="008167E1"/>
    <w:rsid w:val="0081785D"/>
    <w:rsid w:val="0082026F"/>
    <w:rsid w:val="00822104"/>
    <w:rsid w:val="008245E0"/>
    <w:rsid w:val="00824C0B"/>
    <w:rsid w:val="00831029"/>
    <w:rsid w:val="008326B7"/>
    <w:rsid w:val="008336F2"/>
    <w:rsid w:val="00833BE8"/>
    <w:rsid w:val="008347F5"/>
    <w:rsid w:val="00841088"/>
    <w:rsid w:val="008411B4"/>
    <w:rsid w:val="008413C2"/>
    <w:rsid w:val="00844ACF"/>
    <w:rsid w:val="008473EE"/>
    <w:rsid w:val="00850397"/>
    <w:rsid w:val="00853554"/>
    <w:rsid w:val="00853B05"/>
    <w:rsid w:val="00860EF2"/>
    <w:rsid w:val="00866E0E"/>
    <w:rsid w:val="00867B5C"/>
    <w:rsid w:val="00870F7B"/>
    <w:rsid w:val="008711AF"/>
    <w:rsid w:val="008738C9"/>
    <w:rsid w:val="00873DCF"/>
    <w:rsid w:val="008774CA"/>
    <w:rsid w:val="0088073E"/>
    <w:rsid w:val="00880C97"/>
    <w:rsid w:val="00882E77"/>
    <w:rsid w:val="00883EA1"/>
    <w:rsid w:val="008864D0"/>
    <w:rsid w:val="00887AC6"/>
    <w:rsid w:val="00891741"/>
    <w:rsid w:val="00891841"/>
    <w:rsid w:val="00891D62"/>
    <w:rsid w:val="0089315C"/>
    <w:rsid w:val="00894AB9"/>
    <w:rsid w:val="008A180F"/>
    <w:rsid w:val="008A1E0D"/>
    <w:rsid w:val="008A4FD9"/>
    <w:rsid w:val="008B1232"/>
    <w:rsid w:val="008B179F"/>
    <w:rsid w:val="008C1DB8"/>
    <w:rsid w:val="008D10E4"/>
    <w:rsid w:val="008D14D0"/>
    <w:rsid w:val="008D37A9"/>
    <w:rsid w:val="008D6A67"/>
    <w:rsid w:val="008E4277"/>
    <w:rsid w:val="008F2829"/>
    <w:rsid w:val="008F2848"/>
    <w:rsid w:val="008F4144"/>
    <w:rsid w:val="008F5EB9"/>
    <w:rsid w:val="00900200"/>
    <w:rsid w:val="00902F13"/>
    <w:rsid w:val="0090350E"/>
    <w:rsid w:val="009111B4"/>
    <w:rsid w:val="00912AA5"/>
    <w:rsid w:val="00913A10"/>
    <w:rsid w:val="009141F8"/>
    <w:rsid w:val="0092143F"/>
    <w:rsid w:val="009233E0"/>
    <w:rsid w:val="00923DD8"/>
    <w:rsid w:val="00924BC7"/>
    <w:rsid w:val="00924DC2"/>
    <w:rsid w:val="00926CFA"/>
    <w:rsid w:val="00927013"/>
    <w:rsid w:val="00936216"/>
    <w:rsid w:val="00940461"/>
    <w:rsid w:val="0094404E"/>
    <w:rsid w:val="00945710"/>
    <w:rsid w:val="00950AC8"/>
    <w:rsid w:val="00953A75"/>
    <w:rsid w:val="0095527F"/>
    <w:rsid w:val="0095560F"/>
    <w:rsid w:val="00955E6A"/>
    <w:rsid w:val="0095729A"/>
    <w:rsid w:val="00957F8E"/>
    <w:rsid w:val="00962B22"/>
    <w:rsid w:val="00973394"/>
    <w:rsid w:val="0098185F"/>
    <w:rsid w:val="00984399"/>
    <w:rsid w:val="0098558A"/>
    <w:rsid w:val="00987B16"/>
    <w:rsid w:val="0099133B"/>
    <w:rsid w:val="00992CE3"/>
    <w:rsid w:val="009936FE"/>
    <w:rsid w:val="00994BFA"/>
    <w:rsid w:val="009974B5"/>
    <w:rsid w:val="009A3CAB"/>
    <w:rsid w:val="009A608E"/>
    <w:rsid w:val="009B2A08"/>
    <w:rsid w:val="009B3715"/>
    <w:rsid w:val="009B53D0"/>
    <w:rsid w:val="009B63D6"/>
    <w:rsid w:val="009C1414"/>
    <w:rsid w:val="009C72B6"/>
    <w:rsid w:val="009D11C0"/>
    <w:rsid w:val="009D4F96"/>
    <w:rsid w:val="009D558C"/>
    <w:rsid w:val="009D7380"/>
    <w:rsid w:val="009E041E"/>
    <w:rsid w:val="009E124D"/>
    <w:rsid w:val="009E659B"/>
    <w:rsid w:val="009F123E"/>
    <w:rsid w:val="009F7C81"/>
    <w:rsid w:val="00A02991"/>
    <w:rsid w:val="00A030B1"/>
    <w:rsid w:val="00A0678B"/>
    <w:rsid w:val="00A07CB6"/>
    <w:rsid w:val="00A15CFE"/>
    <w:rsid w:val="00A27791"/>
    <w:rsid w:val="00A30CC2"/>
    <w:rsid w:val="00A334E4"/>
    <w:rsid w:val="00A356F2"/>
    <w:rsid w:val="00A35AD0"/>
    <w:rsid w:val="00A35B80"/>
    <w:rsid w:val="00A36E71"/>
    <w:rsid w:val="00A41683"/>
    <w:rsid w:val="00A424FF"/>
    <w:rsid w:val="00A44305"/>
    <w:rsid w:val="00A46675"/>
    <w:rsid w:val="00A507D5"/>
    <w:rsid w:val="00A50995"/>
    <w:rsid w:val="00A53BFE"/>
    <w:rsid w:val="00A54216"/>
    <w:rsid w:val="00A54373"/>
    <w:rsid w:val="00A550C3"/>
    <w:rsid w:val="00A57299"/>
    <w:rsid w:val="00A578CC"/>
    <w:rsid w:val="00A605C8"/>
    <w:rsid w:val="00A61C30"/>
    <w:rsid w:val="00A641B6"/>
    <w:rsid w:val="00A64CD6"/>
    <w:rsid w:val="00A73B9A"/>
    <w:rsid w:val="00A769E5"/>
    <w:rsid w:val="00A76E6C"/>
    <w:rsid w:val="00A82EE4"/>
    <w:rsid w:val="00A87556"/>
    <w:rsid w:val="00A964DF"/>
    <w:rsid w:val="00A97AC7"/>
    <w:rsid w:val="00AA47BC"/>
    <w:rsid w:val="00AA4C42"/>
    <w:rsid w:val="00AB216E"/>
    <w:rsid w:val="00AB7E6D"/>
    <w:rsid w:val="00AC1039"/>
    <w:rsid w:val="00AC1F1E"/>
    <w:rsid w:val="00AC20BD"/>
    <w:rsid w:val="00AC28D2"/>
    <w:rsid w:val="00AC75B5"/>
    <w:rsid w:val="00AD49CC"/>
    <w:rsid w:val="00AD4F99"/>
    <w:rsid w:val="00AD577E"/>
    <w:rsid w:val="00AD79C4"/>
    <w:rsid w:val="00AD7DE2"/>
    <w:rsid w:val="00AD7FE0"/>
    <w:rsid w:val="00AE435E"/>
    <w:rsid w:val="00AE60CD"/>
    <w:rsid w:val="00B01CC9"/>
    <w:rsid w:val="00B03150"/>
    <w:rsid w:val="00B03248"/>
    <w:rsid w:val="00B04704"/>
    <w:rsid w:val="00B1098E"/>
    <w:rsid w:val="00B11959"/>
    <w:rsid w:val="00B11B71"/>
    <w:rsid w:val="00B11C49"/>
    <w:rsid w:val="00B12718"/>
    <w:rsid w:val="00B138D2"/>
    <w:rsid w:val="00B24C5C"/>
    <w:rsid w:val="00B25165"/>
    <w:rsid w:val="00B27A75"/>
    <w:rsid w:val="00B32C9E"/>
    <w:rsid w:val="00B34DE3"/>
    <w:rsid w:val="00B35FF0"/>
    <w:rsid w:val="00B36163"/>
    <w:rsid w:val="00B43EB7"/>
    <w:rsid w:val="00B46F6B"/>
    <w:rsid w:val="00B47F5F"/>
    <w:rsid w:val="00B52994"/>
    <w:rsid w:val="00B55889"/>
    <w:rsid w:val="00B575EB"/>
    <w:rsid w:val="00B61233"/>
    <w:rsid w:val="00B621C4"/>
    <w:rsid w:val="00B62717"/>
    <w:rsid w:val="00B62F8C"/>
    <w:rsid w:val="00B66013"/>
    <w:rsid w:val="00B67E64"/>
    <w:rsid w:val="00B703DF"/>
    <w:rsid w:val="00B7112C"/>
    <w:rsid w:val="00B71607"/>
    <w:rsid w:val="00B7168B"/>
    <w:rsid w:val="00B76C80"/>
    <w:rsid w:val="00B76D2E"/>
    <w:rsid w:val="00B810E6"/>
    <w:rsid w:val="00B8403A"/>
    <w:rsid w:val="00B84A2A"/>
    <w:rsid w:val="00B87B12"/>
    <w:rsid w:val="00B91B82"/>
    <w:rsid w:val="00B950BC"/>
    <w:rsid w:val="00B977DA"/>
    <w:rsid w:val="00BA0AFE"/>
    <w:rsid w:val="00BB21AE"/>
    <w:rsid w:val="00BB26B5"/>
    <w:rsid w:val="00BB3982"/>
    <w:rsid w:val="00BC0BE9"/>
    <w:rsid w:val="00BC14A8"/>
    <w:rsid w:val="00BC1E6F"/>
    <w:rsid w:val="00BC35F4"/>
    <w:rsid w:val="00BC7B18"/>
    <w:rsid w:val="00BD617E"/>
    <w:rsid w:val="00BD73E2"/>
    <w:rsid w:val="00BE638A"/>
    <w:rsid w:val="00BF0D54"/>
    <w:rsid w:val="00BF6855"/>
    <w:rsid w:val="00BF7640"/>
    <w:rsid w:val="00C00864"/>
    <w:rsid w:val="00C0101E"/>
    <w:rsid w:val="00C0421A"/>
    <w:rsid w:val="00C07C6E"/>
    <w:rsid w:val="00C13C5A"/>
    <w:rsid w:val="00C1549A"/>
    <w:rsid w:val="00C172E1"/>
    <w:rsid w:val="00C17715"/>
    <w:rsid w:val="00C17763"/>
    <w:rsid w:val="00C17AD6"/>
    <w:rsid w:val="00C207D1"/>
    <w:rsid w:val="00C3049C"/>
    <w:rsid w:val="00C3376A"/>
    <w:rsid w:val="00C41B35"/>
    <w:rsid w:val="00C44C41"/>
    <w:rsid w:val="00C46751"/>
    <w:rsid w:val="00C52481"/>
    <w:rsid w:val="00C54D1E"/>
    <w:rsid w:val="00C6480C"/>
    <w:rsid w:val="00C65288"/>
    <w:rsid w:val="00C7688F"/>
    <w:rsid w:val="00C82088"/>
    <w:rsid w:val="00C83310"/>
    <w:rsid w:val="00C87BFD"/>
    <w:rsid w:val="00C91D6D"/>
    <w:rsid w:val="00C97D41"/>
    <w:rsid w:val="00CA1B93"/>
    <w:rsid w:val="00CA3D63"/>
    <w:rsid w:val="00CA50AD"/>
    <w:rsid w:val="00CA66C0"/>
    <w:rsid w:val="00CB08DD"/>
    <w:rsid w:val="00CB4504"/>
    <w:rsid w:val="00CB6744"/>
    <w:rsid w:val="00CC0285"/>
    <w:rsid w:val="00CC27B1"/>
    <w:rsid w:val="00CC3834"/>
    <w:rsid w:val="00CC7B1E"/>
    <w:rsid w:val="00CD058C"/>
    <w:rsid w:val="00CD5DCE"/>
    <w:rsid w:val="00CE0705"/>
    <w:rsid w:val="00CE0984"/>
    <w:rsid w:val="00CE13D7"/>
    <w:rsid w:val="00CE2062"/>
    <w:rsid w:val="00CE7746"/>
    <w:rsid w:val="00CE7A4F"/>
    <w:rsid w:val="00CF0687"/>
    <w:rsid w:val="00D0041A"/>
    <w:rsid w:val="00D039E7"/>
    <w:rsid w:val="00D04CDD"/>
    <w:rsid w:val="00D04FD9"/>
    <w:rsid w:val="00D05797"/>
    <w:rsid w:val="00D16952"/>
    <w:rsid w:val="00D31027"/>
    <w:rsid w:val="00D3441F"/>
    <w:rsid w:val="00D40031"/>
    <w:rsid w:val="00D46AA9"/>
    <w:rsid w:val="00D47224"/>
    <w:rsid w:val="00D50EAA"/>
    <w:rsid w:val="00D537B1"/>
    <w:rsid w:val="00D567A3"/>
    <w:rsid w:val="00D57771"/>
    <w:rsid w:val="00D61A2A"/>
    <w:rsid w:val="00D728FC"/>
    <w:rsid w:val="00D73B01"/>
    <w:rsid w:val="00D73FE7"/>
    <w:rsid w:val="00D7540E"/>
    <w:rsid w:val="00D80368"/>
    <w:rsid w:val="00D828F6"/>
    <w:rsid w:val="00D84DED"/>
    <w:rsid w:val="00D85865"/>
    <w:rsid w:val="00D85A41"/>
    <w:rsid w:val="00D85AF9"/>
    <w:rsid w:val="00D85C09"/>
    <w:rsid w:val="00D85D34"/>
    <w:rsid w:val="00D9077E"/>
    <w:rsid w:val="00D90AD5"/>
    <w:rsid w:val="00D9419F"/>
    <w:rsid w:val="00DA1CC2"/>
    <w:rsid w:val="00DA2D6B"/>
    <w:rsid w:val="00DB17A8"/>
    <w:rsid w:val="00DC003F"/>
    <w:rsid w:val="00DC4807"/>
    <w:rsid w:val="00DC71A9"/>
    <w:rsid w:val="00DC7376"/>
    <w:rsid w:val="00DD17B7"/>
    <w:rsid w:val="00DD1C5B"/>
    <w:rsid w:val="00DD5E37"/>
    <w:rsid w:val="00DD6D72"/>
    <w:rsid w:val="00DE0221"/>
    <w:rsid w:val="00DE1D82"/>
    <w:rsid w:val="00DE380D"/>
    <w:rsid w:val="00DE4805"/>
    <w:rsid w:val="00DE5071"/>
    <w:rsid w:val="00DE66F0"/>
    <w:rsid w:val="00DF14E3"/>
    <w:rsid w:val="00DF3060"/>
    <w:rsid w:val="00E009C7"/>
    <w:rsid w:val="00E00F8D"/>
    <w:rsid w:val="00E07DA1"/>
    <w:rsid w:val="00E13DA7"/>
    <w:rsid w:val="00E13DB8"/>
    <w:rsid w:val="00E177A6"/>
    <w:rsid w:val="00E209B4"/>
    <w:rsid w:val="00E259A4"/>
    <w:rsid w:val="00E2656A"/>
    <w:rsid w:val="00E26BA4"/>
    <w:rsid w:val="00E30044"/>
    <w:rsid w:val="00E30290"/>
    <w:rsid w:val="00E3234C"/>
    <w:rsid w:val="00E43F20"/>
    <w:rsid w:val="00E45967"/>
    <w:rsid w:val="00E45A4E"/>
    <w:rsid w:val="00E546E6"/>
    <w:rsid w:val="00E56D6D"/>
    <w:rsid w:val="00E619F4"/>
    <w:rsid w:val="00E64BEC"/>
    <w:rsid w:val="00E65CD7"/>
    <w:rsid w:val="00E66143"/>
    <w:rsid w:val="00E66ED0"/>
    <w:rsid w:val="00E739E2"/>
    <w:rsid w:val="00E77A08"/>
    <w:rsid w:val="00E82D5D"/>
    <w:rsid w:val="00E8549A"/>
    <w:rsid w:val="00E85BA2"/>
    <w:rsid w:val="00E87907"/>
    <w:rsid w:val="00E95486"/>
    <w:rsid w:val="00EA0B47"/>
    <w:rsid w:val="00EA1845"/>
    <w:rsid w:val="00EA43FF"/>
    <w:rsid w:val="00EA7C02"/>
    <w:rsid w:val="00EB400E"/>
    <w:rsid w:val="00EB4169"/>
    <w:rsid w:val="00EB651B"/>
    <w:rsid w:val="00EC47E0"/>
    <w:rsid w:val="00EC6074"/>
    <w:rsid w:val="00ED03EA"/>
    <w:rsid w:val="00ED29B3"/>
    <w:rsid w:val="00ED4A6B"/>
    <w:rsid w:val="00ED605E"/>
    <w:rsid w:val="00ED67FA"/>
    <w:rsid w:val="00ED71CB"/>
    <w:rsid w:val="00ED72E3"/>
    <w:rsid w:val="00ED7834"/>
    <w:rsid w:val="00ED7A84"/>
    <w:rsid w:val="00ED7DA5"/>
    <w:rsid w:val="00EF1B0D"/>
    <w:rsid w:val="00EF1F92"/>
    <w:rsid w:val="00EF2D2F"/>
    <w:rsid w:val="00EF31DD"/>
    <w:rsid w:val="00EF52DD"/>
    <w:rsid w:val="00EF6A13"/>
    <w:rsid w:val="00EF74DA"/>
    <w:rsid w:val="00F009F4"/>
    <w:rsid w:val="00F02719"/>
    <w:rsid w:val="00F039F3"/>
    <w:rsid w:val="00F0506A"/>
    <w:rsid w:val="00F05D86"/>
    <w:rsid w:val="00F06DC0"/>
    <w:rsid w:val="00F133D1"/>
    <w:rsid w:val="00F16885"/>
    <w:rsid w:val="00F20998"/>
    <w:rsid w:val="00F223B8"/>
    <w:rsid w:val="00F2330D"/>
    <w:rsid w:val="00F24074"/>
    <w:rsid w:val="00F32E08"/>
    <w:rsid w:val="00F334B4"/>
    <w:rsid w:val="00F35856"/>
    <w:rsid w:val="00F358DB"/>
    <w:rsid w:val="00F409C2"/>
    <w:rsid w:val="00F4111B"/>
    <w:rsid w:val="00F42E52"/>
    <w:rsid w:val="00F463A9"/>
    <w:rsid w:val="00F463C9"/>
    <w:rsid w:val="00F50683"/>
    <w:rsid w:val="00F5476F"/>
    <w:rsid w:val="00F5652F"/>
    <w:rsid w:val="00F6235F"/>
    <w:rsid w:val="00F65BD3"/>
    <w:rsid w:val="00F66C94"/>
    <w:rsid w:val="00F71F7C"/>
    <w:rsid w:val="00F73AA4"/>
    <w:rsid w:val="00F76727"/>
    <w:rsid w:val="00F772A1"/>
    <w:rsid w:val="00F77548"/>
    <w:rsid w:val="00F77AF4"/>
    <w:rsid w:val="00F82088"/>
    <w:rsid w:val="00F82D4F"/>
    <w:rsid w:val="00F83642"/>
    <w:rsid w:val="00F83DBF"/>
    <w:rsid w:val="00F8762D"/>
    <w:rsid w:val="00F94185"/>
    <w:rsid w:val="00F957A1"/>
    <w:rsid w:val="00F9791B"/>
    <w:rsid w:val="00FA0BC3"/>
    <w:rsid w:val="00FA27AE"/>
    <w:rsid w:val="00FA577E"/>
    <w:rsid w:val="00FB1245"/>
    <w:rsid w:val="00FB4FA1"/>
    <w:rsid w:val="00FD5C72"/>
    <w:rsid w:val="00FD74DB"/>
    <w:rsid w:val="00FE097C"/>
    <w:rsid w:val="00FE4525"/>
    <w:rsid w:val="00FE4C84"/>
    <w:rsid w:val="00FF013C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2DF974E-832A-48D2-A11A-BD89002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2A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qFormat/>
    <w:rsid w:val="00363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C01"/>
  </w:style>
  <w:style w:type="paragraph" w:styleId="Pieddepage">
    <w:name w:val="footer"/>
    <w:basedOn w:val="Normal"/>
    <w:link w:val="PieddepageCar"/>
    <w:uiPriority w:val="99"/>
    <w:unhideWhenUsed/>
    <w:rsid w:val="0070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C0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C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07C0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BC0B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BC0BE9"/>
    <w:rPr>
      <w:vertAlign w:val="superscript"/>
    </w:rPr>
  </w:style>
  <w:style w:type="character" w:styleId="Lienhypertexte">
    <w:name w:val="Hyperlink"/>
    <w:rsid w:val="00BC0BE9"/>
    <w:rPr>
      <w:color w:val="0000FF"/>
      <w:u w:val="single"/>
    </w:rPr>
  </w:style>
  <w:style w:type="paragraph" w:customStyle="1" w:styleId="Default">
    <w:name w:val="Default"/>
    <w:rsid w:val="00BC0BE9"/>
    <w:pPr>
      <w:widowControl w:val="0"/>
      <w:autoSpaceDE w:val="0"/>
      <w:autoSpaceDN w:val="0"/>
      <w:adjustRightInd w:val="0"/>
    </w:pPr>
    <w:rPr>
      <w:rFonts w:ascii="IFPAC A+ Univers" w:eastAsia="Times New Roman" w:hAnsi="IFPAC A+ Univers" w:cs="IFPAC A+ Univer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00F8D"/>
    <w:rPr>
      <w:rFonts w:ascii="CFMAP A+ Univers" w:eastAsia="MS Mincho" w:hAnsi="CFMAP A+ Univers" w:cs="Times New Roman"/>
      <w:color w:val="auto"/>
      <w:lang w:eastAsia="ja-JP"/>
    </w:rPr>
  </w:style>
  <w:style w:type="character" w:styleId="Numrodepage">
    <w:name w:val="page number"/>
    <w:basedOn w:val="Policepardfaut"/>
    <w:rsid w:val="00EA7C02"/>
  </w:style>
  <w:style w:type="paragraph" w:styleId="NormalWeb">
    <w:name w:val="Normal (Web)"/>
    <w:basedOn w:val="Normal"/>
    <w:uiPriority w:val="99"/>
    <w:rsid w:val="00363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36397F"/>
  </w:style>
  <w:style w:type="character" w:customStyle="1" w:styleId="apple-converted-space">
    <w:name w:val="apple-converted-space"/>
    <w:basedOn w:val="Policepardfaut"/>
    <w:rsid w:val="00C54D1E"/>
  </w:style>
  <w:style w:type="character" w:styleId="Accentuation">
    <w:name w:val="Emphasis"/>
    <w:uiPriority w:val="20"/>
    <w:qFormat/>
    <w:rsid w:val="00F83642"/>
    <w:rPr>
      <w:i/>
      <w:iCs/>
    </w:rPr>
  </w:style>
  <w:style w:type="paragraph" w:customStyle="1" w:styleId="tiret">
    <w:name w:val="tiret"/>
    <w:basedOn w:val="Normal"/>
    <w:rsid w:val="00714C2D"/>
    <w:pPr>
      <w:spacing w:before="80" w:after="80" w:line="240" w:lineRule="auto"/>
      <w:jc w:val="both"/>
    </w:pPr>
    <w:rPr>
      <w:rFonts w:ascii="Garamond" w:eastAsia="Times New Roman" w:hAnsi="Garamond" w:cs="Garamond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locked/>
    <w:rsid w:val="00714C2D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714C2D"/>
    <w:pPr>
      <w:ind w:left="708"/>
    </w:pPr>
    <w:rPr>
      <w:rFonts w:ascii="Proxima Nova Rg" w:hAnsi="Proxima Nova Rg"/>
      <w:lang w:eastAsia="fr-FR"/>
    </w:rPr>
  </w:style>
  <w:style w:type="paragraph" w:customStyle="1" w:styleId="TableParagraph">
    <w:name w:val="Table Paragraph"/>
    <w:basedOn w:val="Normal"/>
    <w:uiPriority w:val="1"/>
    <w:qFormat/>
    <w:rsid w:val="0076616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Tableausimple2">
    <w:name w:val="Plain Table 2"/>
    <w:basedOn w:val="TableauNormal"/>
    <w:uiPriority w:val="42"/>
    <w:rsid w:val="007373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">
    <w:name w:val="Grid Table 1 Light"/>
    <w:basedOn w:val="TableauNormal"/>
    <w:uiPriority w:val="46"/>
    <w:rsid w:val="007373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1"/>
    <w:qFormat/>
    <w:rsid w:val="00253B88"/>
    <w:pPr>
      <w:widowControl w:val="0"/>
      <w:spacing w:after="0" w:line="240" w:lineRule="auto"/>
      <w:ind w:left="103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53B88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2407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F64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40E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EB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EB5"/>
    <w:rPr>
      <w:b/>
      <w:bCs/>
      <w:lang w:eastAsia="en-US"/>
    </w:rPr>
  </w:style>
  <w:style w:type="character" w:styleId="lev">
    <w:name w:val="Strong"/>
    <w:basedOn w:val="Policepardfaut"/>
    <w:uiPriority w:val="22"/>
    <w:qFormat/>
    <w:rsid w:val="00793CF7"/>
    <w:rPr>
      <w:b/>
      <w:bCs/>
    </w:rPr>
  </w:style>
  <w:style w:type="table" w:styleId="Grilledutableau">
    <w:name w:val="Table Grid"/>
    <w:basedOn w:val="TableauNormal"/>
    <w:uiPriority w:val="59"/>
    <w:rsid w:val="0057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5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00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1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0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83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f.fr/fspf-services/circulaires/publication-nouveaux-parametres-arrete-marge-applicables-2019-2020" TargetMode="External"/><Relationship Id="rId1" Type="http://schemas.openxmlformats.org/officeDocument/2006/relationships/hyperlink" Target="https://www.legifrance.gouv.fr/jo_pdf.do?id=JORFTEXT0000376115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6FF2-745A-4415-8B13-440F473A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CIRCULAIRE-PRESIDENTS 2014-XX</vt:lpstr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CIRCULAIRE-PRESIDENTS 2014-XX</dc:title>
  <dc:subject/>
  <dc:creator>WITTEVRONGEL Jocelyne</dc:creator>
  <cp:keywords/>
  <cp:lastModifiedBy>Jean CIVET</cp:lastModifiedBy>
  <cp:revision>23</cp:revision>
  <cp:lastPrinted>2017-12-20T08:46:00Z</cp:lastPrinted>
  <dcterms:created xsi:type="dcterms:W3CDTF">2017-12-21T15:35:00Z</dcterms:created>
  <dcterms:modified xsi:type="dcterms:W3CDTF">2018-11-19T16:42:00Z</dcterms:modified>
</cp:coreProperties>
</file>