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1F54F" w14:textId="472D29E4" w:rsidR="00195041" w:rsidRPr="00F03D23" w:rsidRDefault="00195041" w:rsidP="00195041">
      <w:pPr>
        <w:jc w:val="both"/>
        <w:rPr>
          <w:rFonts w:ascii="Arial" w:hAnsi="Arial" w:cs="Arial"/>
          <w:b/>
          <w:sz w:val="16"/>
          <w:szCs w:val="16"/>
        </w:rPr>
      </w:pPr>
      <w:bookmarkStart w:id="0" w:name="_GoBack"/>
      <w:bookmarkEnd w:id="0"/>
    </w:p>
    <w:p w14:paraId="4681974F" w14:textId="77777777" w:rsidR="00F03D23" w:rsidRPr="00F03D23" w:rsidRDefault="00F03D23" w:rsidP="00F03D23">
      <w:pPr>
        <w:pStyle w:val="Titre2"/>
        <w:pBdr>
          <w:top w:val="single" w:sz="4" w:space="1" w:color="auto"/>
          <w:left w:val="single" w:sz="4" w:space="4" w:color="auto"/>
          <w:bottom w:val="single" w:sz="4" w:space="1" w:color="auto"/>
          <w:right w:val="single" w:sz="4" w:space="4" w:color="auto"/>
        </w:pBdr>
        <w:jc w:val="center"/>
        <w:rPr>
          <w:rFonts w:ascii="Arial" w:hAnsi="Arial" w:cs="Arial"/>
          <w:b w:val="0"/>
          <w:i/>
          <w:sz w:val="16"/>
          <w:szCs w:val="16"/>
        </w:rPr>
      </w:pPr>
      <w:r w:rsidRPr="00F03D23">
        <w:rPr>
          <w:rFonts w:ascii="Arial" w:hAnsi="Arial" w:cs="Arial"/>
          <w:caps/>
          <w:sz w:val="16"/>
          <w:szCs w:val="16"/>
        </w:rPr>
        <w:t>Tableau 2</w:t>
      </w:r>
    </w:p>
    <w:p w14:paraId="74969B92" w14:textId="77777777" w:rsidR="00F03D23" w:rsidRPr="00F03D23" w:rsidRDefault="00F03D23" w:rsidP="00F03D23">
      <w:pPr>
        <w:rPr>
          <w:rFonts w:ascii="Arial" w:hAnsi="Arial" w:cs="Arial"/>
          <w:sz w:val="16"/>
          <w:szCs w:val="16"/>
        </w:rPr>
      </w:pPr>
    </w:p>
    <w:p w14:paraId="50DB2321" w14:textId="77777777" w:rsidR="00F03D23" w:rsidRPr="00F03D23" w:rsidRDefault="00F03D23" w:rsidP="00F03D23">
      <w:pPr>
        <w:spacing w:line="360" w:lineRule="auto"/>
        <w:jc w:val="center"/>
        <w:rPr>
          <w:rFonts w:ascii="Arial" w:hAnsi="Arial" w:cs="Arial"/>
          <w:b/>
          <w:caps/>
          <w:sz w:val="16"/>
          <w:szCs w:val="16"/>
        </w:rPr>
      </w:pPr>
      <w:r w:rsidRPr="00F03D23">
        <w:rPr>
          <w:rFonts w:ascii="Arial" w:hAnsi="Arial" w:cs="Arial"/>
          <w:b/>
          <w:caps/>
          <w:sz w:val="16"/>
          <w:szCs w:val="16"/>
        </w:rPr>
        <w:t xml:space="preserve">Brevet professionnel (BP) de préparateur en pharmacie </w:t>
      </w:r>
      <w:r w:rsidRPr="00F03D23">
        <w:rPr>
          <w:rFonts w:ascii="Arial" w:hAnsi="Arial" w:cs="Arial"/>
          <w:b/>
          <w:caps/>
          <w:sz w:val="16"/>
          <w:szCs w:val="16"/>
        </w:rPr>
        <w:br/>
        <w:t>OU diplôme D’ETUDES UNIVERSITAIRES SCIENTIFIQUES ET TECHNIQUES (DEUST) DE PREPARATEUR/TECHNICIEN EN PHARMACIE</w:t>
      </w:r>
    </w:p>
    <w:p w14:paraId="01DF82D5" w14:textId="77777777" w:rsidR="00F03D23" w:rsidRPr="00F03D23" w:rsidRDefault="00F03D23" w:rsidP="00F03D23">
      <w:pPr>
        <w:jc w:val="center"/>
        <w:rPr>
          <w:rFonts w:ascii="Arial" w:hAnsi="Arial" w:cs="Arial"/>
          <w:b/>
          <w:bCs/>
          <w:caps/>
          <w:sz w:val="16"/>
          <w:szCs w:val="16"/>
        </w:rPr>
      </w:pPr>
      <w:r w:rsidRPr="00F03D23">
        <w:rPr>
          <w:rFonts w:ascii="Arial" w:hAnsi="Arial" w:cs="Arial"/>
          <w:b/>
          <w:bCs/>
          <w:caps/>
          <w:sz w:val="16"/>
          <w:szCs w:val="16"/>
        </w:rPr>
        <w:t>contrats d’apprentissage ET DE PROFESSIONNALISATION</w:t>
      </w:r>
      <w:r w:rsidRPr="00F03D23">
        <w:rPr>
          <w:rStyle w:val="Appelnotedebasdep"/>
          <w:rFonts w:ascii="Arial" w:hAnsi="Arial" w:cs="Arial"/>
          <w:b/>
          <w:bCs/>
          <w:caps/>
          <w:sz w:val="16"/>
          <w:szCs w:val="16"/>
        </w:rPr>
        <w:footnoteReference w:id="1"/>
      </w:r>
    </w:p>
    <w:p w14:paraId="76AAD0AF" w14:textId="4D1777B1" w:rsidR="00F03D23" w:rsidRPr="00F03D23" w:rsidRDefault="00F03D23" w:rsidP="00F03D23">
      <w:pPr>
        <w:jc w:val="center"/>
        <w:rPr>
          <w:rFonts w:ascii="Arial" w:hAnsi="Arial" w:cs="Arial"/>
          <w:sz w:val="16"/>
          <w:szCs w:val="16"/>
        </w:rPr>
      </w:pPr>
      <w:r w:rsidRPr="00F03D23">
        <w:rPr>
          <w:rFonts w:ascii="Arial" w:hAnsi="Arial" w:cs="Arial"/>
          <w:b/>
          <w:sz w:val="16"/>
          <w:szCs w:val="16"/>
          <w:highlight w:val="lightGray"/>
        </w:rPr>
        <w:t xml:space="preserve">Salaires applicables au </w:t>
      </w:r>
      <w:r w:rsidR="00865B53">
        <w:rPr>
          <w:rFonts w:ascii="Arial" w:hAnsi="Arial" w:cs="Arial"/>
          <w:b/>
          <w:sz w:val="16"/>
          <w:szCs w:val="16"/>
          <w:highlight w:val="lightGray"/>
        </w:rPr>
        <w:t>16 mars </w:t>
      </w:r>
      <w:r w:rsidRPr="00F03D23">
        <w:rPr>
          <w:rFonts w:ascii="Arial" w:hAnsi="Arial" w:cs="Arial"/>
          <w:b/>
          <w:sz w:val="16"/>
          <w:szCs w:val="16"/>
          <w:highlight w:val="lightGray"/>
        </w:rPr>
        <w:t xml:space="preserve">2022 </w:t>
      </w:r>
      <w:r w:rsidRPr="00F03D23">
        <w:rPr>
          <w:rFonts w:ascii="Arial" w:hAnsi="Arial" w:cs="Arial"/>
          <w:sz w:val="16"/>
          <w:szCs w:val="16"/>
          <w:highlight w:val="lightGray"/>
        </w:rPr>
        <w:t>(base 35 heures)</w:t>
      </w:r>
      <w:r w:rsidRPr="00F03D23">
        <w:rPr>
          <w:rStyle w:val="Appelnotedebasdep"/>
          <w:rFonts w:ascii="Arial" w:hAnsi="Arial" w:cs="Arial"/>
          <w:sz w:val="16"/>
          <w:szCs w:val="16"/>
          <w:highlight w:val="lightGray"/>
        </w:rPr>
        <w:footnoteReference w:id="2"/>
      </w:r>
    </w:p>
    <w:p w14:paraId="1214C955" w14:textId="77777777" w:rsidR="00F03D23" w:rsidRPr="00F03D23" w:rsidRDefault="00F03D23" w:rsidP="00F03D23">
      <w:pPr>
        <w:jc w:val="center"/>
        <w:rPr>
          <w:rFonts w:ascii="Arial" w:hAnsi="Arial" w:cs="Arial"/>
          <w:iCs/>
          <w:sz w:val="16"/>
          <w:szCs w:val="16"/>
        </w:rPr>
      </w:pPr>
    </w:p>
    <w:tbl>
      <w:tblPr>
        <w:tblW w:w="15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196"/>
        <w:gridCol w:w="2268"/>
        <w:gridCol w:w="2694"/>
        <w:gridCol w:w="2835"/>
        <w:gridCol w:w="2607"/>
      </w:tblGrid>
      <w:tr w:rsidR="00F03D23" w:rsidRPr="00F03D23" w14:paraId="3BE4BFB4" w14:textId="77777777" w:rsidTr="009C1A4A">
        <w:trPr>
          <w:trHeight w:val="554"/>
        </w:trPr>
        <w:tc>
          <w:tcPr>
            <w:tcW w:w="7524" w:type="dxa"/>
            <w:gridSpan w:val="3"/>
            <w:tcBorders>
              <w:top w:val="thinThickLargeGap" w:sz="24" w:space="0" w:color="auto"/>
              <w:left w:val="thinThickLargeGap" w:sz="24" w:space="0" w:color="auto"/>
              <w:bottom w:val="single" w:sz="4" w:space="0" w:color="auto"/>
              <w:right w:val="thinThickThinLargeGap" w:sz="24" w:space="0" w:color="auto"/>
            </w:tcBorders>
            <w:vAlign w:val="center"/>
          </w:tcPr>
          <w:p w14:paraId="427C80BE"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u w:val="single"/>
              </w:rPr>
              <w:t>Contrats d’apprentissage</w:t>
            </w:r>
            <w:r w:rsidRPr="00F03D23">
              <w:rPr>
                <w:rFonts w:ascii="Arial" w:hAnsi="Arial" w:cs="Arial"/>
                <w:b/>
                <w:bCs/>
                <w:sz w:val="14"/>
                <w:szCs w:val="14"/>
              </w:rPr>
              <w:t xml:space="preserve"> </w:t>
            </w:r>
          </w:p>
        </w:tc>
        <w:tc>
          <w:tcPr>
            <w:tcW w:w="8136" w:type="dxa"/>
            <w:gridSpan w:val="3"/>
            <w:tcBorders>
              <w:top w:val="thinThickLargeGap" w:sz="24" w:space="0" w:color="auto"/>
              <w:left w:val="thinThickThinLargeGap" w:sz="24" w:space="0" w:color="auto"/>
              <w:right w:val="thickThinLargeGap" w:sz="24" w:space="0" w:color="auto"/>
            </w:tcBorders>
            <w:vAlign w:val="center"/>
          </w:tcPr>
          <w:p w14:paraId="3D63E213"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u w:val="single"/>
              </w:rPr>
              <w:t>Contrats de professionnalisation</w:t>
            </w:r>
          </w:p>
        </w:tc>
      </w:tr>
      <w:tr w:rsidR="00F03D23" w:rsidRPr="00F03D23" w14:paraId="273C1260" w14:textId="77777777" w:rsidTr="009C1A4A">
        <w:trPr>
          <w:trHeight w:val="291"/>
        </w:trPr>
        <w:tc>
          <w:tcPr>
            <w:tcW w:w="3060" w:type="dxa"/>
            <w:tcBorders>
              <w:top w:val="single" w:sz="4" w:space="0" w:color="auto"/>
              <w:left w:val="thinThickLargeGap" w:sz="24" w:space="0" w:color="auto"/>
              <w:bottom w:val="single" w:sz="4" w:space="0" w:color="auto"/>
              <w:right w:val="single" w:sz="4" w:space="0" w:color="auto"/>
            </w:tcBorders>
            <w:vAlign w:val="center"/>
          </w:tcPr>
          <w:p w14:paraId="519B3D32"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Année de formation</w:t>
            </w:r>
          </w:p>
        </w:tc>
        <w:tc>
          <w:tcPr>
            <w:tcW w:w="2196" w:type="dxa"/>
            <w:tcBorders>
              <w:top w:val="single" w:sz="4" w:space="0" w:color="auto"/>
              <w:left w:val="single" w:sz="4" w:space="0" w:color="auto"/>
              <w:bottom w:val="single" w:sz="4" w:space="0" w:color="auto"/>
              <w:right w:val="single" w:sz="4" w:space="0" w:color="auto"/>
            </w:tcBorders>
            <w:vAlign w:val="center"/>
          </w:tcPr>
          <w:p w14:paraId="4B879B14"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1</w:t>
            </w:r>
            <w:r w:rsidRPr="00F03D23">
              <w:rPr>
                <w:rFonts w:ascii="Arial" w:hAnsi="Arial" w:cs="Arial"/>
                <w:b/>
                <w:bCs/>
                <w:sz w:val="14"/>
                <w:szCs w:val="14"/>
                <w:vertAlign w:val="superscript"/>
              </w:rPr>
              <w:t>ère</w:t>
            </w:r>
            <w:r w:rsidRPr="00F03D23">
              <w:rPr>
                <w:rFonts w:ascii="Arial" w:hAnsi="Arial" w:cs="Arial"/>
                <w:b/>
                <w:bCs/>
                <w:sz w:val="14"/>
                <w:szCs w:val="14"/>
              </w:rPr>
              <w:t xml:space="preserve"> année</w:t>
            </w:r>
          </w:p>
        </w:tc>
        <w:tc>
          <w:tcPr>
            <w:tcW w:w="2268" w:type="dxa"/>
            <w:tcBorders>
              <w:top w:val="single" w:sz="4" w:space="0" w:color="auto"/>
              <w:left w:val="single" w:sz="4" w:space="0" w:color="auto"/>
              <w:bottom w:val="single" w:sz="4" w:space="0" w:color="auto"/>
              <w:right w:val="thinThickThinLargeGap" w:sz="24" w:space="0" w:color="auto"/>
            </w:tcBorders>
            <w:vAlign w:val="center"/>
          </w:tcPr>
          <w:p w14:paraId="2C552808"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2</w:t>
            </w:r>
            <w:r w:rsidRPr="00F03D23">
              <w:rPr>
                <w:rFonts w:ascii="Arial" w:hAnsi="Arial" w:cs="Arial"/>
                <w:b/>
                <w:bCs/>
                <w:sz w:val="14"/>
                <w:szCs w:val="14"/>
                <w:vertAlign w:val="superscript"/>
              </w:rPr>
              <w:t>ème</w:t>
            </w:r>
            <w:r w:rsidRPr="00F03D23">
              <w:rPr>
                <w:rFonts w:ascii="Arial" w:hAnsi="Arial" w:cs="Arial"/>
                <w:b/>
                <w:bCs/>
                <w:sz w:val="14"/>
                <w:szCs w:val="14"/>
              </w:rPr>
              <w:t xml:space="preserve"> année</w:t>
            </w:r>
          </w:p>
        </w:tc>
        <w:tc>
          <w:tcPr>
            <w:tcW w:w="2694" w:type="dxa"/>
            <w:tcBorders>
              <w:left w:val="thinThickThinLargeGap" w:sz="24" w:space="0" w:color="auto"/>
            </w:tcBorders>
            <w:vAlign w:val="center"/>
          </w:tcPr>
          <w:p w14:paraId="59ED859C"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Année de formation</w:t>
            </w:r>
          </w:p>
        </w:tc>
        <w:tc>
          <w:tcPr>
            <w:tcW w:w="2835" w:type="dxa"/>
            <w:tcBorders>
              <w:bottom w:val="single" w:sz="4" w:space="0" w:color="auto"/>
            </w:tcBorders>
            <w:vAlign w:val="center"/>
          </w:tcPr>
          <w:p w14:paraId="082B8F30"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1</w:t>
            </w:r>
            <w:r w:rsidRPr="00F03D23">
              <w:rPr>
                <w:rFonts w:ascii="Arial" w:hAnsi="Arial" w:cs="Arial"/>
                <w:b/>
                <w:bCs/>
                <w:sz w:val="14"/>
                <w:szCs w:val="14"/>
                <w:vertAlign w:val="superscript"/>
              </w:rPr>
              <w:t>ère</w:t>
            </w:r>
            <w:r w:rsidRPr="00F03D23">
              <w:rPr>
                <w:rFonts w:ascii="Arial" w:hAnsi="Arial" w:cs="Arial"/>
                <w:b/>
                <w:bCs/>
                <w:sz w:val="14"/>
                <w:szCs w:val="14"/>
              </w:rPr>
              <w:t xml:space="preserve"> année</w:t>
            </w:r>
          </w:p>
        </w:tc>
        <w:tc>
          <w:tcPr>
            <w:tcW w:w="2607" w:type="dxa"/>
            <w:tcBorders>
              <w:bottom w:val="single" w:sz="4" w:space="0" w:color="auto"/>
              <w:right w:val="thickThinLargeGap" w:sz="24" w:space="0" w:color="auto"/>
            </w:tcBorders>
            <w:vAlign w:val="center"/>
          </w:tcPr>
          <w:p w14:paraId="0A20CBEE"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2</w:t>
            </w:r>
            <w:r w:rsidRPr="00F03D23">
              <w:rPr>
                <w:rFonts w:ascii="Arial" w:hAnsi="Arial" w:cs="Arial"/>
                <w:b/>
                <w:bCs/>
                <w:sz w:val="14"/>
                <w:szCs w:val="14"/>
                <w:vertAlign w:val="superscript"/>
              </w:rPr>
              <w:t>ème</w:t>
            </w:r>
            <w:r w:rsidRPr="00F03D23">
              <w:rPr>
                <w:rFonts w:ascii="Arial" w:hAnsi="Arial" w:cs="Arial"/>
                <w:b/>
                <w:bCs/>
                <w:sz w:val="14"/>
                <w:szCs w:val="14"/>
              </w:rPr>
              <w:t xml:space="preserve"> année</w:t>
            </w:r>
          </w:p>
        </w:tc>
      </w:tr>
      <w:tr w:rsidR="00F03D23" w:rsidRPr="00F03D23" w14:paraId="2F2A5EF0" w14:textId="77777777" w:rsidTr="009C1A4A">
        <w:trPr>
          <w:trHeight w:val="523"/>
        </w:trPr>
        <w:tc>
          <w:tcPr>
            <w:tcW w:w="3060" w:type="dxa"/>
            <w:vMerge w:val="restart"/>
            <w:tcBorders>
              <w:top w:val="nil"/>
              <w:left w:val="thinThickLargeGap" w:sz="24" w:space="0" w:color="auto"/>
              <w:right w:val="single" w:sz="4" w:space="0" w:color="auto"/>
            </w:tcBorders>
            <w:vAlign w:val="center"/>
          </w:tcPr>
          <w:p w14:paraId="4699A718"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B.E.P. Carrières sanitaires et sociales</w:t>
            </w:r>
          </w:p>
        </w:tc>
        <w:tc>
          <w:tcPr>
            <w:tcW w:w="2196" w:type="dxa"/>
            <w:tcBorders>
              <w:top w:val="single" w:sz="4" w:space="0" w:color="auto"/>
              <w:left w:val="single" w:sz="4" w:space="0" w:color="auto"/>
              <w:bottom w:val="dotted" w:sz="4" w:space="0" w:color="auto"/>
              <w:right w:val="single" w:sz="4" w:space="0" w:color="auto"/>
            </w:tcBorders>
            <w:vAlign w:val="center"/>
          </w:tcPr>
          <w:p w14:paraId="0FAC22BB"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55 % du </w:t>
            </w:r>
            <w:proofErr w:type="spellStart"/>
            <w:r w:rsidRPr="00F03D23">
              <w:rPr>
                <w:rFonts w:ascii="Arial" w:hAnsi="Arial" w:cs="Arial"/>
                <w:sz w:val="14"/>
                <w:szCs w:val="14"/>
              </w:rPr>
              <w:t>coeff</w:t>
            </w:r>
            <w:proofErr w:type="spellEnd"/>
            <w:r w:rsidRPr="00F03D23">
              <w:rPr>
                <w:rFonts w:ascii="Arial" w:hAnsi="Arial" w:cs="Arial"/>
                <w:sz w:val="14"/>
                <w:szCs w:val="14"/>
              </w:rPr>
              <w:t>. 145</w:t>
            </w:r>
          </w:p>
        </w:tc>
        <w:tc>
          <w:tcPr>
            <w:tcW w:w="2268" w:type="dxa"/>
            <w:tcBorders>
              <w:top w:val="single" w:sz="4" w:space="0" w:color="auto"/>
              <w:left w:val="single" w:sz="4" w:space="0" w:color="auto"/>
              <w:bottom w:val="dotted" w:sz="4" w:space="0" w:color="auto"/>
              <w:right w:val="thinThickThinLargeGap" w:sz="24" w:space="0" w:color="auto"/>
            </w:tcBorders>
            <w:vAlign w:val="center"/>
          </w:tcPr>
          <w:p w14:paraId="59BD1FB2"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65 % du </w:t>
            </w:r>
            <w:proofErr w:type="spellStart"/>
            <w:r w:rsidRPr="00F03D23">
              <w:rPr>
                <w:rFonts w:ascii="Arial" w:hAnsi="Arial" w:cs="Arial"/>
                <w:sz w:val="14"/>
                <w:szCs w:val="14"/>
              </w:rPr>
              <w:t>coeff</w:t>
            </w:r>
            <w:proofErr w:type="spellEnd"/>
            <w:r w:rsidRPr="00F03D23">
              <w:rPr>
                <w:rFonts w:ascii="Arial" w:hAnsi="Arial" w:cs="Arial"/>
                <w:sz w:val="14"/>
                <w:szCs w:val="14"/>
              </w:rPr>
              <w:t>. 155</w:t>
            </w:r>
          </w:p>
        </w:tc>
        <w:tc>
          <w:tcPr>
            <w:tcW w:w="2694" w:type="dxa"/>
            <w:vMerge w:val="restart"/>
            <w:tcBorders>
              <w:left w:val="thinThickThinLargeGap" w:sz="24" w:space="0" w:color="auto"/>
            </w:tcBorders>
            <w:vAlign w:val="center"/>
          </w:tcPr>
          <w:p w14:paraId="4775DF9B"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B.E.P. Carrières sanitaires et sociales</w:t>
            </w:r>
          </w:p>
        </w:tc>
        <w:tc>
          <w:tcPr>
            <w:tcW w:w="2835" w:type="dxa"/>
            <w:tcBorders>
              <w:bottom w:val="dotted" w:sz="4" w:space="0" w:color="auto"/>
              <w:tl2br w:val="nil"/>
              <w:tr2bl w:val="nil"/>
            </w:tcBorders>
            <w:vAlign w:val="center"/>
          </w:tcPr>
          <w:p w14:paraId="10102563"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55 % du </w:t>
            </w:r>
            <w:proofErr w:type="spellStart"/>
            <w:r w:rsidRPr="00F03D23">
              <w:rPr>
                <w:rFonts w:ascii="Arial" w:hAnsi="Arial" w:cs="Arial"/>
                <w:sz w:val="14"/>
                <w:szCs w:val="14"/>
              </w:rPr>
              <w:t>coeff</w:t>
            </w:r>
            <w:proofErr w:type="spellEnd"/>
            <w:r w:rsidRPr="00F03D23">
              <w:rPr>
                <w:rFonts w:ascii="Arial" w:hAnsi="Arial" w:cs="Arial"/>
                <w:sz w:val="14"/>
                <w:szCs w:val="14"/>
              </w:rPr>
              <w:t>. 145 pour les moins de 21 ans</w:t>
            </w:r>
          </w:p>
        </w:tc>
        <w:tc>
          <w:tcPr>
            <w:tcW w:w="2607" w:type="dxa"/>
            <w:tcBorders>
              <w:bottom w:val="dotted" w:sz="4" w:space="0" w:color="auto"/>
              <w:right w:val="thickThinLargeGap" w:sz="24" w:space="0" w:color="auto"/>
            </w:tcBorders>
            <w:shd w:val="clear" w:color="auto" w:fill="auto"/>
            <w:vAlign w:val="center"/>
          </w:tcPr>
          <w:p w14:paraId="567705E7"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65 % du </w:t>
            </w:r>
            <w:proofErr w:type="spellStart"/>
            <w:r w:rsidRPr="00F03D23">
              <w:rPr>
                <w:rFonts w:ascii="Arial" w:hAnsi="Arial" w:cs="Arial"/>
                <w:sz w:val="14"/>
                <w:szCs w:val="14"/>
              </w:rPr>
              <w:t>coeff</w:t>
            </w:r>
            <w:proofErr w:type="spellEnd"/>
            <w:r w:rsidRPr="00F03D23">
              <w:rPr>
                <w:rFonts w:ascii="Arial" w:hAnsi="Arial" w:cs="Arial"/>
                <w:sz w:val="14"/>
                <w:szCs w:val="14"/>
              </w:rPr>
              <w:t>. 155 pour les moins de 21 ans</w:t>
            </w:r>
          </w:p>
        </w:tc>
      </w:tr>
      <w:tr w:rsidR="00F03D23" w:rsidRPr="00F03D23" w14:paraId="0201B44E" w14:textId="77777777" w:rsidTr="009C1A4A">
        <w:trPr>
          <w:trHeight w:val="489"/>
        </w:trPr>
        <w:tc>
          <w:tcPr>
            <w:tcW w:w="3060" w:type="dxa"/>
            <w:vMerge/>
            <w:tcBorders>
              <w:left w:val="thinThickLargeGap" w:sz="24" w:space="0" w:color="auto"/>
              <w:right w:val="single" w:sz="4" w:space="0" w:color="auto"/>
            </w:tcBorders>
            <w:vAlign w:val="center"/>
          </w:tcPr>
          <w:p w14:paraId="0788E5DF" w14:textId="77777777" w:rsidR="00F03D23" w:rsidRPr="00F03D23" w:rsidRDefault="00F03D23" w:rsidP="009C1A4A">
            <w:pPr>
              <w:jc w:val="center"/>
              <w:rPr>
                <w:rFonts w:ascii="Arial" w:hAnsi="Arial" w:cs="Arial"/>
                <w:b/>
                <w:bCs/>
                <w:sz w:val="14"/>
                <w:szCs w:val="14"/>
              </w:rPr>
            </w:pPr>
          </w:p>
        </w:tc>
        <w:tc>
          <w:tcPr>
            <w:tcW w:w="2196" w:type="dxa"/>
            <w:tcBorders>
              <w:top w:val="dotted" w:sz="4" w:space="0" w:color="auto"/>
              <w:left w:val="single" w:sz="4" w:space="0" w:color="auto"/>
              <w:bottom w:val="single" w:sz="4" w:space="0" w:color="auto"/>
              <w:right w:val="single" w:sz="4" w:space="0" w:color="auto"/>
            </w:tcBorders>
            <w:vAlign w:val="center"/>
          </w:tcPr>
          <w:p w14:paraId="29E756D5"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890,78 €</w:t>
            </w:r>
          </w:p>
        </w:tc>
        <w:tc>
          <w:tcPr>
            <w:tcW w:w="2268" w:type="dxa"/>
            <w:tcBorders>
              <w:top w:val="dotted" w:sz="4" w:space="0" w:color="auto"/>
              <w:left w:val="single" w:sz="4" w:space="0" w:color="auto"/>
              <w:bottom w:val="single" w:sz="4" w:space="0" w:color="auto"/>
              <w:right w:val="thinThickThinLargeGap" w:sz="24" w:space="0" w:color="auto"/>
            </w:tcBorders>
            <w:vAlign w:val="center"/>
          </w:tcPr>
          <w:p w14:paraId="2AFAF369"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1 056,29 €</w:t>
            </w:r>
          </w:p>
        </w:tc>
        <w:tc>
          <w:tcPr>
            <w:tcW w:w="2694" w:type="dxa"/>
            <w:vMerge/>
            <w:tcBorders>
              <w:left w:val="thinThickThinLargeGap" w:sz="24" w:space="0" w:color="auto"/>
            </w:tcBorders>
            <w:vAlign w:val="center"/>
          </w:tcPr>
          <w:p w14:paraId="7858C84D" w14:textId="77777777" w:rsidR="00F03D23" w:rsidRPr="00F03D23" w:rsidRDefault="00F03D23" w:rsidP="009C1A4A">
            <w:pPr>
              <w:jc w:val="center"/>
              <w:rPr>
                <w:rFonts w:ascii="Arial" w:hAnsi="Arial" w:cs="Arial"/>
                <w:b/>
                <w:bCs/>
                <w:sz w:val="14"/>
                <w:szCs w:val="14"/>
              </w:rPr>
            </w:pPr>
          </w:p>
        </w:tc>
        <w:tc>
          <w:tcPr>
            <w:tcW w:w="2835" w:type="dxa"/>
            <w:tcBorders>
              <w:top w:val="dotted" w:sz="4" w:space="0" w:color="auto"/>
              <w:bottom w:val="single" w:sz="4" w:space="0" w:color="auto"/>
              <w:tl2br w:val="nil"/>
              <w:tr2bl w:val="nil"/>
            </w:tcBorders>
            <w:vAlign w:val="center"/>
          </w:tcPr>
          <w:p w14:paraId="010924EB"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890,78 €</w:t>
            </w:r>
          </w:p>
        </w:tc>
        <w:tc>
          <w:tcPr>
            <w:tcW w:w="2607" w:type="dxa"/>
            <w:tcBorders>
              <w:top w:val="dotted" w:sz="4" w:space="0" w:color="auto"/>
              <w:bottom w:val="single" w:sz="4" w:space="0" w:color="auto"/>
              <w:right w:val="thickThinLargeGap" w:sz="24" w:space="0" w:color="auto"/>
            </w:tcBorders>
            <w:shd w:val="clear" w:color="auto" w:fill="auto"/>
            <w:vAlign w:val="center"/>
          </w:tcPr>
          <w:p w14:paraId="56D9F10F"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1 056,29 €</w:t>
            </w:r>
          </w:p>
        </w:tc>
      </w:tr>
      <w:tr w:rsidR="00F03D23" w:rsidRPr="00F03D23" w14:paraId="3355044B" w14:textId="77777777" w:rsidTr="009C1A4A">
        <w:trPr>
          <w:trHeight w:val="287"/>
        </w:trPr>
        <w:tc>
          <w:tcPr>
            <w:tcW w:w="3060" w:type="dxa"/>
            <w:vMerge/>
            <w:tcBorders>
              <w:left w:val="thinThickLargeGap" w:sz="24" w:space="0" w:color="auto"/>
              <w:right w:val="single" w:sz="4" w:space="0" w:color="auto"/>
            </w:tcBorders>
            <w:vAlign w:val="center"/>
          </w:tcPr>
          <w:p w14:paraId="166EC9D6" w14:textId="77777777" w:rsidR="00F03D23" w:rsidRPr="00F03D23" w:rsidRDefault="00F03D23" w:rsidP="009C1A4A">
            <w:pPr>
              <w:jc w:val="center"/>
              <w:rPr>
                <w:rFonts w:ascii="Arial" w:hAnsi="Arial" w:cs="Arial"/>
                <w:b/>
                <w:bCs/>
                <w:sz w:val="14"/>
                <w:szCs w:val="14"/>
              </w:rPr>
            </w:pPr>
          </w:p>
        </w:tc>
        <w:tc>
          <w:tcPr>
            <w:tcW w:w="2196" w:type="dxa"/>
            <w:vMerge w:val="restart"/>
            <w:tcBorders>
              <w:left w:val="single" w:sz="4" w:space="0" w:color="auto"/>
              <w:bottom w:val="dotted" w:sz="4" w:space="0" w:color="auto"/>
              <w:right w:val="single" w:sz="4" w:space="0" w:color="auto"/>
            </w:tcBorders>
            <w:vAlign w:val="center"/>
          </w:tcPr>
          <w:p w14:paraId="3341E4BF"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100 % du </w:t>
            </w:r>
            <w:proofErr w:type="spellStart"/>
            <w:r w:rsidRPr="00F03D23">
              <w:rPr>
                <w:rFonts w:ascii="Arial" w:hAnsi="Arial" w:cs="Arial"/>
                <w:sz w:val="14"/>
                <w:szCs w:val="14"/>
              </w:rPr>
              <w:t>coeff</w:t>
            </w:r>
            <w:proofErr w:type="spellEnd"/>
            <w:r w:rsidRPr="00F03D23">
              <w:rPr>
                <w:rFonts w:ascii="Arial" w:hAnsi="Arial" w:cs="Arial"/>
                <w:sz w:val="14"/>
                <w:szCs w:val="14"/>
              </w:rPr>
              <w:t>. 145 pour les 26 ans et plus</w:t>
            </w:r>
            <w:r w:rsidRPr="00F03D23">
              <w:rPr>
                <w:rStyle w:val="Appelnotedebasdep"/>
                <w:rFonts w:ascii="Arial" w:hAnsi="Arial" w:cs="Arial"/>
                <w:sz w:val="14"/>
                <w:szCs w:val="14"/>
              </w:rPr>
              <w:footnoteReference w:id="3"/>
            </w:r>
          </w:p>
        </w:tc>
        <w:tc>
          <w:tcPr>
            <w:tcW w:w="2268" w:type="dxa"/>
            <w:vMerge w:val="restart"/>
            <w:tcBorders>
              <w:left w:val="single" w:sz="4" w:space="0" w:color="auto"/>
              <w:bottom w:val="dotted" w:sz="4" w:space="0" w:color="auto"/>
              <w:right w:val="thinThickThinLargeGap" w:sz="24" w:space="0" w:color="auto"/>
            </w:tcBorders>
            <w:vAlign w:val="center"/>
          </w:tcPr>
          <w:p w14:paraId="01F1413E"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100 % du </w:t>
            </w:r>
            <w:proofErr w:type="spellStart"/>
            <w:r w:rsidRPr="00F03D23">
              <w:rPr>
                <w:rFonts w:ascii="Arial" w:hAnsi="Arial" w:cs="Arial"/>
                <w:sz w:val="14"/>
                <w:szCs w:val="14"/>
              </w:rPr>
              <w:t>coeff</w:t>
            </w:r>
            <w:proofErr w:type="spellEnd"/>
            <w:r w:rsidRPr="00F03D23">
              <w:rPr>
                <w:rFonts w:ascii="Arial" w:hAnsi="Arial" w:cs="Arial"/>
                <w:sz w:val="14"/>
                <w:szCs w:val="14"/>
              </w:rPr>
              <w:t>. 155 pour les 26 ans et plus</w:t>
            </w:r>
            <w:r w:rsidRPr="00F03D23">
              <w:rPr>
                <w:rFonts w:ascii="Arial" w:hAnsi="Arial" w:cs="Arial"/>
                <w:sz w:val="14"/>
                <w:szCs w:val="14"/>
                <w:vertAlign w:val="superscript"/>
              </w:rPr>
              <w:t>3</w:t>
            </w:r>
          </w:p>
        </w:tc>
        <w:tc>
          <w:tcPr>
            <w:tcW w:w="2694" w:type="dxa"/>
            <w:vMerge/>
            <w:tcBorders>
              <w:left w:val="thinThickThinLargeGap" w:sz="24" w:space="0" w:color="auto"/>
            </w:tcBorders>
            <w:vAlign w:val="center"/>
          </w:tcPr>
          <w:p w14:paraId="1F609070" w14:textId="77777777" w:rsidR="00F03D23" w:rsidRPr="00F03D23" w:rsidRDefault="00F03D23" w:rsidP="009C1A4A">
            <w:pPr>
              <w:jc w:val="center"/>
              <w:rPr>
                <w:rFonts w:ascii="Arial" w:hAnsi="Arial" w:cs="Arial"/>
                <w:b/>
                <w:bCs/>
                <w:sz w:val="14"/>
                <w:szCs w:val="14"/>
              </w:rPr>
            </w:pPr>
          </w:p>
        </w:tc>
        <w:tc>
          <w:tcPr>
            <w:tcW w:w="5442" w:type="dxa"/>
            <w:gridSpan w:val="2"/>
            <w:tcBorders>
              <w:top w:val="single" w:sz="4" w:space="0" w:color="auto"/>
              <w:bottom w:val="dotted" w:sz="4" w:space="0" w:color="auto"/>
              <w:right w:val="thickThinLargeGap" w:sz="24" w:space="0" w:color="auto"/>
            </w:tcBorders>
            <w:vAlign w:val="center"/>
          </w:tcPr>
          <w:p w14:paraId="5691D2E8"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70 % du SMIC de 21 ans à 25 ans</w:t>
            </w:r>
            <w:r w:rsidRPr="00F03D23">
              <w:rPr>
                <w:rStyle w:val="Appelnotedebasdep"/>
                <w:rFonts w:ascii="Arial" w:hAnsi="Arial" w:cs="Arial"/>
                <w:sz w:val="14"/>
                <w:szCs w:val="14"/>
              </w:rPr>
              <w:footnoteReference w:id="4"/>
            </w:r>
          </w:p>
        </w:tc>
      </w:tr>
      <w:tr w:rsidR="00F03D23" w:rsidRPr="00F03D23" w14:paraId="3E4C1D59" w14:textId="77777777" w:rsidTr="009C1A4A">
        <w:trPr>
          <w:trHeight w:val="150"/>
        </w:trPr>
        <w:tc>
          <w:tcPr>
            <w:tcW w:w="3060" w:type="dxa"/>
            <w:vMerge/>
            <w:tcBorders>
              <w:left w:val="thinThickLargeGap" w:sz="24" w:space="0" w:color="auto"/>
              <w:right w:val="single" w:sz="4" w:space="0" w:color="auto"/>
            </w:tcBorders>
            <w:vAlign w:val="center"/>
          </w:tcPr>
          <w:p w14:paraId="5F928E4E" w14:textId="77777777" w:rsidR="00F03D23" w:rsidRPr="00F03D23" w:rsidRDefault="00F03D23" w:rsidP="009C1A4A">
            <w:pPr>
              <w:jc w:val="center"/>
              <w:rPr>
                <w:rFonts w:ascii="Arial" w:hAnsi="Arial" w:cs="Arial"/>
                <w:b/>
                <w:bCs/>
                <w:sz w:val="14"/>
                <w:szCs w:val="14"/>
              </w:rPr>
            </w:pPr>
          </w:p>
        </w:tc>
        <w:tc>
          <w:tcPr>
            <w:tcW w:w="2196" w:type="dxa"/>
            <w:vMerge/>
            <w:tcBorders>
              <w:left w:val="single" w:sz="4" w:space="0" w:color="auto"/>
              <w:bottom w:val="dotted" w:sz="4" w:space="0" w:color="auto"/>
              <w:right w:val="single" w:sz="4" w:space="0" w:color="auto"/>
            </w:tcBorders>
            <w:vAlign w:val="center"/>
          </w:tcPr>
          <w:p w14:paraId="146A371B" w14:textId="77777777" w:rsidR="00F03D23" w:rsidRPr="00F03D23" w:rsidRDefault="00F03D23" w:rsidP="009C1A4A">
            <w:pPr>
              <w:jc w:val="center"/>
              <w:rPr>
                <w:rFonts w:ascii="Arial" w:hAnsi="Arial" w:cs="Arial"/>
                <w:sz w:val="14"/>
                <w:szCs w:val="14"/>
              </w:rPr>
            </w:pPr>
          </w:p>
        </w:tc>
        <w:tc>
          <w:tcPr>
            <w:tcW w:w="2268" w:type="dxa"/>
            <w:vMerge/>
            <w:tcBorders>
              <w:left w:val="single" w:sz="4" w:space="0" w:color="auto"/>
              <w:bottom w:val="dotted" w:sz="4" w:space="0" w:color="auto"/>
              <w:right w:val="thinThickThinLargeGap" w:sz="24" w:space="0" w:color="auto"/>
            </w:tcBorders>
            <w:vAlign w:val="center"/>
          </w:tcPr>
          <w:p w14:paraId="49D0C872" w14:textId="77777777" w:rsidR="00F03D23" w:rsidRPr="00F03D23" w:rsidRDefault="00F03D23" w:rsidP="009C1A4A">
            <w:pPr>
              <w:jc w:val="center"/>
              <w:rPr>
                <w:rFonts w:ascii="Arial" w:hAnsi="Arial" w:cs="Arial"/>
                <w:sz w:val="14"/>
                <w:szCs w:val="14"/>
              </w:rPr>
            </w:pPr>
          </w:p>
        </w:tc>
        <w:tc>
          <w:tcPr>
            <w:tcW w:w="2694" w:type="dxa"/>
            <w:vMerge/>
            <w:tcBorders>
              <w:left w:val="thinThickThinLargeGap" w:sz="24" w:space="0" w:color="auto"/>
            </w:tcBorders>
            <w:vAlign w:val="center"/>
          </w:tcPr>
          <w:p w14:paraId="69A69BBF" w14:textId="77777777" w:rsidR="00F03D23" w:rsidRPr="00F03D23" w:rsidRDefault="00F03D23" w:rsidP="009C1A4A">
            <w:pPr>
              <w:jc w:val="center"/>
              <w:rPr>
                <w:rFonts w:ascii="Arial" w:hAnsi="Arial" w:cs="Arial"/>
                <w:b/>
                <w:bCs/>
                <w:sz w:val="14"/>
                <w:szCs w:val="14"/>
              </w:rPr>
            </w:pPr>
          </w:p>
        </w:tc>
        <w:tc>
          <w:tcPr>
            <w:tcW w:w="5442" w:type="dxa"/>
            <w:gridSpan w:val="2"/>
            <w:tcBorders>
              <w:top w:val="dotted" w:sz="4" w:space="0" w:color="auto"/>
              <w:bottom w:val="single" w:sz="4" w:space="0" w:color="auto"/>
              <w:right w:val="thickThinLargeGap" w:sz="24" w:space="0" w:color="auto"/>
            </w:tcBorders>
            <w:vAlign w:val="center"/>
          </w:tcPr>
          <w:p w14:paraId="37B1E287"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1 122,18 €</w:t>
            </w:r>
          </w:p>
        </w:tc>
      </w:tr>
      <w:tr w:rsidR="00F03D23" w:rsidRPr="00F03D23" w14:paraId="19CD982D" w14:textId="77777777" w:rsidTr="009C1A4A">
        <w:trPr>
          <w:trHeight w:val="90"/>
        </w:trPr>
        <w:tc>
          <w:tcPr>
            <w:tcW w:w="3060" w:type="dxa"/>
            <w:vMerge/>
            <w:tcBorders>
              <w:left w:val="thinThickLargeGap" w:sz="24" w:space="0" w:color="auto"/>
              <w:right w:val="single" w:sz="4" w:space="0" w:color="auto"/>
            </w:tcBorders>
            <w:vAlign w:val="center"/>
          </w:tcPr>
          <w:p w14:paraId="090EC40A" w14:textId="77777777" w:rsidR="00F03D23" w:rsidRPr="00F03D23" w:rsidRDefault="00F03D23" w:rsidP="009C1A4A">
            <w:pPr>
              <w:jc w:val="center"/>
              <w:rPr>
                <w:rFonts w:ascii="Arial" w:hAnsi="Arial" w:cs="Arial"/>
                <w:b/>
                <w:bCs/>
                <w:sz w:val="14"/>
                <w:szCs w:val="14"/>
              </w:rPr>
            </w:pPr>
          </w:p>
        </w:tc>
        <w:tc>
          <w:tcPr>
            <w:tcW w:w="2196" w:type="dxa"/>
            <w:vMerge w:val="restart"/>
            <w:tcBorders>
              <w:top w:val="dotted" w:sz="4" w:space="0" w:color="auto"/>
              <w:left w:val="single" w:sz="4" w:space="0" w:color="auto"/>
              <w:right w:val="single" w:sz="4" w:space="0" w:color="auto"/>
            </w:tcBorders>
            <w:vAlign w:val="center"/>
          </w:tcPr>
          <w:p w14:paraId="16836BE8"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1 619,60 €</w:t>
            </w:r>
          </w:p>
        </w:tc>
        <w:tc>
          <w:tcPr>
            <w:tcW w:w="2268" w:type="dxa"/>
            <w:vMerge w:val="restart"/>
            <w:tcBorders>
              <w:top w:val="dotted" w:sz="4" w:space="0" w:color="auto"/>
              <w:left w:val="single" w:sz="4" w:space="0" w:color="auto"/>
              <w:right w:val="thinThickThinLargeGap" w:sz="24" w:space="0" w:color="auto"/>
            </w:tcBorders>
            <w:vAlign w:val="center"/>
          </w:tcPr>
          <w:p w14:paraId="4ACF6691"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1 625,06 €</w:t>
            </w:r>
          </w:p>
        </w:tc>
        <w:tc>
          <w:tcPr>
            <w:tcW w:w="2694" w:type="dxa"/>
            <w:vMerge/>
            <w:tcBorders>
              <w:left w:val="thinThickThinLargeGap" w:sz="24" w:space="0" w:color="auto"/>
            </w:tcBorders>
            <w:vAlign w:val="center"/>
          </w:tcPr>
          <w:p w14:paraId="119EA6DD" w14:textId="77777777" w:rsidR="00F03D23" w:rsidRPr="00F03D23" w:rsidRDefault="00F03D23" w:rsidP="009C1A4A">
            <w:pPr>
              <w:jc w:val="center"/>
              <w:rPr>
                <w:rFonts w:ascii="Arial" w:hAnsi="Arial" w:cs="Arial"/>
                <w:b/>
                <w:bCs/>
                <w:sz w:val="14"/>
                <w:szCs w:val="14"/>
              </w:rPr>
            </w:pPr>
          </w:p>
        </w:tc>
        <w:tc>
          <w:tcPr>
            <w:tcW w:w="5442" w:type="dxa"/>
            <w:gridSpan w:val="2"/>
            <w:tcBorders>
              <w:top w:val="single" w:sz="4" w:space="0" w:color="auto"/>
              <w:bottom w:val="dotted" w:sz="4" w:space="0" w:color="auto"/>
              <w:right w:val="thickThinLargeGap" w:sz="24" w:space="0" w:color="auto"/>
            </w:tcBorders>
            <w:vAlign w:val="center"/>
          </w:tcPr>
          <w:p w14:paraId="0E742C21"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100 % du SMIC pour les 26 ans et plus</w:t>
            </w:r>
            <w:r w:rsidRPr="00F03D23">
              <w:rPr>
                <w:rStyle w:val="Appelnotedebasdep"/>
                <w:rFonts w:ascii="Arial" w:hAnsi="Arial" w:cs="Arial"/>
                <w:sz w:val="14"/>
                <w:szCs w:val="14"/>
              </w:rPr>
              <w:footnoteReference w:id="5"/>
            </w:r>
          </w:p>
        </w:tc>
      </w:tr>
      <w:tr w:rsidR="00F03D23" w:rsidRPr="00F03D23" w14:paraId="602AB9EA" w14:textId="77777777" w:rsidTr="009C1A4A">
        <w:trPr>
          <w:trHeight w:val="90"/>
        </w:trPr>
        <w:tc>
          <w:tcPr>
            <w:tcW w:w="3060" w:type="dxa"/>
            <w:vMerge/>
            <w:tcBorders>
              <w:left w:val="thinThickLargeGap" w:sz="24" w:space="0" w:color="auto"/>
              <w:bottom w:val="single" w:sz="4" w:space="0" w:color="auto"/>
              <w:right w:val="single" w:sz="4" w:space="0" w:color="auto"/>
            </w:tcBorders>
            <w:vAlign w:val="center"/>
          </w:tcPr>
          <w:p w14:paraId="7F53B3EF" w14:textId="77777777" w:rsidR="00F03D23" w:rsidRPr="00F03D23" w:rsidRDefault="00F03D23" w:rsidP="009C1A4A">
            <w:pPr>
              <w:jc w:val="center"/>
              <w:rPr>
                <w:rFonts w:ascii="Arial" w:hAnsi="Arial" w:cs="Arial"/>
                <w:b/>
                <w:bCs/>
                <w:sz w:val="14"/>
                <w:szCs w:val="14"/>
              </w:rPr>
            </w:pPr>
          </w:p>
        </w:tc>
        <w:tc>
          <w:tcPr>
            <w:tcW w:w="2196" w:type="dxa"/>
            <w:vMerge/>
            <w:tcBorders>
              <w:left w:val="single" w:sz="4" w:space="0" w:color="auto"/>
              <w:bottom w:val="single" w:sz="4" w:space="0" w:color="auto"/>
              <w:right w:val="single" w:sz="4" w:space="0" w:color="auto"/>
            </w:tcBorders>
            <w:vAlign w:val="center"/>
          </w:tcPr>
          <w:p w14:paraId="492AE3DD" w14:textId="77777777" w:rsidR="00F03D23" w:rsidRPr="00F03D23" w:rsidRDefault="00F03D23" w:rsidP="009C1A4A">
            <w:pPr>
              <w:jc w:val="center"/>
              <w:rPr>
                <w:rFonts w:ascii="Arial" w:hAnsi="Arial" w:cs="Arial"/>
                <w:sz w:val="14"/>
                <w:szCs w:val="14"/>
              </w:rPr>
            </w:pPr>
          </w:p>
        </w:tc>
        <w:tc>
          <w:tcPr>
            <w:tcW w:w="2268" w:type="dxa"/>
            <w:vMerge/>
            <w:tcBorders>
              <w:left w:val="single" w:sz="4" w:space="0" w:color="auto"/>
              <w:bottom w:val="single" w:sz="4" w:space="0" w:color="auto"/>
              <w:right w:val="thinThickThinLargeGap" w:sz="24" w:space="0" w:color="auto"/>
            </w:tcBorders>
            <w:vAlign w:val="center"/>
          </w:tcPr>
          <w:p w14:paraId="0D7481DC" w14:textId="77777777" w:rsidR="00F03D23" w:rsidRPr="00F03D23" w:rsidRDefault="00F03D23" w:rsidP="009C1A4A">
            <w:pPr>
              <w:jc w:val="center"/>
              <w:rPr>
                <w:rFonts w:ascii="Arial" w:hAnsi="Arial" w:cs="Arial"/>
                <w:sz w:val="14"/>
                <w:szCs w:val="14"/>
              </w:rPr>
            </w:pPr>
          </w:p>
        </w:tc>
        <w:tc>
          <w:tcPr>
            <w:tcW w:w="2694" w:type="dxa"/>
            <w:vMerge/>
            <w:tcBorders>
              <w:left w:val="thinThickThinLargeGap" w:sz="24" w:space="0" w:color="auto"/>
              <w:bottom w:val="single" w:sz="4" w:space="0" w:color="auto"/>
            </w:tcBorders>
            <w:vAlign w:val="center"/>
          </w:tcPr>
          <w:p w14:paraId="49A68FF7" w14:textId="77777777" w:rsidR="00F03D23" w:rsidRPr="00F03D23" w:rsidRDefault="00F03D23" w:rsidP="009C1A4A">
            <w:pPr>
              <w:jc w:val="center"/>
              <w:rPr>
                <w:rFonts w:ascii="Arial" w:hAnsi="Arial" w:cs="Arial"/>
                <w:b/>
                <w:bCs/>
                <w:sz w:val="14"/>
                <w:szCs w:val="14"/>
              </w:rPr>
            </w:pPr>
          </w:p>
        </w:tc>
        <w:tc>
          <w:tcPr>
            <w:tcW w:w="5442" w:type="dxa"/>
            <w:gridSpan w:val="2"/>
            <w:tcBorders>
              <w:top w:val="dotted" w:sz="4" w:space="0" w:color="auto"/>
              <w:bottom w:val="single" w:sz="4" w:space="0" w:color="auto"/>
              <w:right w:val="thickThinLargeGap" w:sz="24" w:space="0" w:color="auto"/>
            </w:tcBorders>
            <w:vAlign w:val="center"/>
          </w:tcPr>
          <w:p w14:paraId="15EDD5AB"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1 603,12 €</w:t>
            </w:r>
          </w:p>
        </w:tc>
      </w:tr>
      <w:tr w:rsidR="00F03D23" w:rsidRPr="00F03D23" w14:paraId="0A052A80" w14:textId="77777777" w:rsidTr="009C1A4A">
        <w:trPr>
          <w:trHeight w:val="487"/>
        </w:trPr>
        <w:tc>
          <w:tcPr>
            <w:tcW w:w="3060" w:type="dxa"/>
            <w:vMerge w:val="restart"/>
            <w:tcBorders>
              <w:top w:val="single" w:sz="4" w:space="0" w:color="auto"/>
              <w:left w:val="thinThickLargeGap" w:sz="24" w:space="0" w:color="auto"/>
              <w:right w:val="single" w:sz="4" w:space="0" w:color="auto"/>
            </w:tcBorders>
            <w:vAlign w:val="center"/>
          </w:tcPr>
          <w:p w14:paraId="622B3A12"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Baccalauréat ou tout autre titre ou diplôme permettant de s’inscrire en première année des études de pharmacie</w:t>
            </w:r>
          </w:p>
        </w:tc>
        <w:tc>
          <w:tcPr>
            <w:tcW w:w="2196" w:type="dxa"/>
            <w:tcBorders>
              <w:top w:val="single" w:sz="4" w:space="0" w:color="auto"/>
              <w:left w:val="single" w:sz="4" w:space="0" w:color="auto"/>
              <w:bottom w:val="dotted" w:sz="4" w:space="0" w:color="auto"/>
              <w:right w:val="single" w:sz="4" w:space="0" w:color="auto"/>
            </w:tcBorders>
            <w:vAlign w:val="center"/>
          </w:tcPr>
          <w:p w14:paraId="2F5FAC3E"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56 % du </w:t>
            </w:r>
            <w:proofErr w:type="spellStart"/>
            <w:r w:rsidRPr="00F03D23">
              <w:rPr>
                <w:rFonts w:ascii="Arial" w:hAnsi="Arial" w:cs="Arial"/>
                <w:sz w:val="14"/>
                <w:szCs w:val="14"/>
              </w:rPr>
              <w:t>coeff</w:t>
            </w:r>
            <w:proofErr w:type="spellEnd"/>
            <w:r w:rsidRPr="00F03D23">
              <w:rPr>
                <w:rFonts w:ascii="Arial" w:hAnsi="Arial" w:cs="Arial"/>
                <w:sz w:val="14"/>
                <w:szCs w:val="14"/>
              </w:rPr>
              <w:t>. 150</w:t>
            </w:r>
          </w:p>
        </w:tc>
        <w:tc>
          <w:tcPr>
            <w:tcW w:w="2268" w:type="dxa"/>
            <w:tcBorders>
              <w:top w:val="single" w:sz="4" w:space="0" w:color="auto"/>
              <w:left w:val="single" w:sz="4" w:space="0" w:color="auto"/>
              <w:bottom w:val="dotted" w:sz="4" w:space="0" w:color="auto"/>
              <w:right w:val="thinThickThinLargeGap" w:sz="24" w:space="0" w:color="auto"/>
            </w:tcBorders>
            <w:vAlign w:val="center"/>
          </w:tcPr>
          <w:p w14:paraId="045F88FD"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67 % du </w:t>
            </w:r>
            <w:proofErr w:type="spellStart"/>
            <w:r w:rsidRPr="00F03D23">
              <w:rPr>
                <w:rFonts w:ascii="Arial" w:hAnsi="Arial" w:cs="Arial"/>
                <w:sz w:val="14"/>
                <w:szCs w:val="14"/>
              </w:rPr>
              <w:t>coeff</w:t>
            </w:r>
            <w:proofErr w:type="spellEnd"/>
            <w:r w:rsidRPr="00F03D23">
              <w:rPr>
                <w:rFonts w:ascii="Arial" w:hAnsi="Arial" w:cs="Arial"/>
                <w:sz w:val="14"/>
                <w:szCs w:val="14"/>
              </w:rPr>
              <w:t>. 160</w:t>
            </w:r>
          </w:p>
        </w:tc>
        <w:tc>
          <w:tcPr>
            <w:tcW w:w="2694" w:type="dxa"/>
            <w:vMerge w:val="restart"/>
            <w:tcBorders>
              <w:left w:val="thinThickThinLargeGap" w:sz="24" w:space="0" w:color="auto"/>
            </w:tcBorders>
            <w:vAlign w:val="center"/>
          </w:tcPr>
          <w:p w14:paraId="601709CE" w14:textId="77777777" w:rsidR="00F03D23" w:rsidRPr="00F03D23" w:rsidRDefault="00F03D23" w:rsidP="009C1A4A">
            <w:pPr>
              <w:jc w:val="center"/>
              <w:rPr>
                <w:rFonts w:ascii="Arial" w:hAnsi="Arial" w:cs="Arial"/>
                <w:b/>
                <w:bCs/>
                <w:sz w:val="14"/>
                <w:szCs w:val="14"/>
              </w:rPr>
            </w:pPr>
            <w:r w:rsidRPr="00F03D23">
              <w:rPr>
                <w:rFonts w:ascii="Arial" w:hAnsi="Arial" w:cs="Arial"/>
                <w:b/>
                <w:bCs/>
                <w:sz w:val="14"/>
                <w:szCs w:val="14"/>
              </w:rPr>
              <w:t>Baccalauréat ou tout autre titre ou diplôme permettant de s’inscrire en première année des études de pharmacie</w:t>
            </w:r>
            <w:r w:rsidRPr="00F03D23">
              <w:rPr>
                <w:rStyle w:val="Appelnotedebasdep"/>
                <w:rFonts w:ascii="Arial" w:hAnsi="Arial" w:cs="Arial"/>
                <w:b/>
                <w:bCs/>
                <w:sz w:val="14"/>
                <w:szCs w:val="14"/>
              </w:rPr>
              <w:footnoteReference w:id="6"/>
            </w:r>
          </w:p>
        </w:tc>
        <w:tc>
          <w:tcPr>
            <w:tcW w:w="2835" w:type="dxa"/>
            <w:tcBorders>
              <w:bottom w:val="dotted" w:sz="4" w:space="0" w:color="auto"/>
            </w:tcBorders>
            <w:vAlign w:val="center"/>
          </w:tcPr>
          <w:p w14:paraId="6EE01101" w14:textId="200BF76F"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56 % du </w:t>
            </w:r>
            <w:proofErr w:type="spellStart"/>
            <w:r w:rsidRPr="00F03D23">
              <w:rPr>
                <w:rFonts w:ascii="Arial" w:hAnsi="Arial" w:cs="Arial"/>
                <w:sz w:val="14"/>
                <w:szCs w:val="14"/>
              </w:rPr>
              <w:t>coeff</w:t>
            </w:r>
            <w:proofErr w:type="spellEnd"/>
            <w:r w:rsidRPr="00F03D23">
              <w:rPr>
                <w:rFonts w:ascii="Arial" w:hAnsi="Arial" w:cs="Arial"/>
                <w:sz w:val="14"/>
                <w:szCs w:val="14"/>
              </w:rPr>
              <w:t>. 150 pour les moins de 21</w:t>
            </w:r>
            <w:r w:rsidR="00ED7AAE">
              <w:rPr>
                <w:rFonts w:ascii="Arial" w:hAnsi="Arial" w:cs="Arial"/>
                <w:sz w:val="14"/>
                <w:szCs w:val="14"/>
              </w:rPr>
              <w:t> </w:t>
            </w:r>
            <w:r w:rsidRPr="00F03D23">
              <w:rPr>
                <w:rFonts w:ascii="Arial" w:hAnsi="Arial" w:cs="Arial"/>
                <w:sz w:val="14"/>
                <w:szCs w:val="14"/>
              </w:rPr>
              <w:t>ans</w:t>
            </w:r>
          </w:p>
        </w:tc>
        <w:tc>
          <w:tcPr>
            <w:tcW w:w="2607" w:type="dxa"/>
            <w:tcBorders>
              <w:bottom w:val="dotted" w:sz="4" w:space="0" w:color="auto"/>
              <w:right w:val="thickThinLargeGap" w:sz="24" w:space="0" w:color="auto"/>
            </w:tcBorders>
            <w:shd w:val="clear" w:color="auto" w:fill="auto"/>
            <w:vAlign w:val="center"/>
          </w:tcPr>
          <w:p w14:paraId="24F94628"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67 % du </w:t>
            </w:r>
            <w:proofErr w:type="spellStart"/>
            <w:r w:rsidRPr="00F03D23">
              <w:rPr>
                <w:rFonts w:ascii="Arial" w:hAnsi="Arial" w:cs="Arial"/>
                <w:sz w:val="14"/>
                <w:szCs w:val="14"/>
              </w:rPr>
              <w:t>coeff</w:t>
            </w:r>
            <w:proofErr w:type="spellEnd"/>
            <w:r w:rsidRPr="00F03D23">
              <w:rPr>
                <w:rFonts w:ascii="Arial" w:hAnsi="Arial" w:cs="Arial"/>
                <w:sz w:val="14"/>
                <w:szCs w:val="14"/>
              </w:rPr>
              <w:t>. 160 pour les moins de 21 ans</w:t>
            </w:r>
          </w:p>
        </w:tc>
      </w:tr>
      <w:tr w:rsidR="00F03D23" w:rsidRPr="00F03D23" w14:paraId="15532B0E" w14:textId="77777777" w:rsidTr="009C1A4A">
        <w:trPr>
          <w:trHeight w:val="580"/>
        </w:trPr>
        <w:tc>
          <w:tcPr>
            <w:tcW w:w="3060" w:type="dxa"/>
            <w:vMerge/>
            <w:tcBorders>
              <w:left w:val="thinThickLargeGap" w:sz="24" w:space="0" w:color="auto"/>
              <w:right w:val="single" w:sz="4" w:space="0" w:color="auto"/>
            </w:tcBorders>
            <w:vAlign w:val="center"/>
          </w:tcPr>
          <w:p w14:paraId="033C2C4C" w14:textId="77777777" w:rsidR="00F03D23" w:rsidRPr="00F03D23" w:rsidRDefault="00F03D23" w:rsidP="009C1A4A">
            <w:pPr>
              <w:jc w:val="center"/>
              <w:rPr>
                <w:rFonts w:ascii="Arial" w:hAnsi="Arial" w:cs="Arial"/>
                <w:b/>
                <w:bCs/>
                <w:sz w:val="14"/>
                <w:szCs w:val="14"/>
              </w:rPr>
            </w:pPr>
          </w:p>
        </w:tc>
        <w:tc>
          <w:tcPr>
            <w:tcW w:w="2196" w:type="dxa"/>
            <w:tcBorders>
              <w:top w:val="dotted" w:sz="4" w:space="0" w:color="auto"/>
              <w:left w:val="single" w:sz="4" w:space="0" w:color="auto"/>
              <w:bottom w:val="single" w:sz="4" w:space="0" w:color="auto"/>
              <w:right w:val="single" w:sz="4" w:space="0" w:color="auto"/>
            </w:tcBorders>
            <w:vAlign w:val="center"/>
          </w:tcPr>
          <w:p w14:paraId="367C1123"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908,50 €</w:t>
            </w:r>
          </w:p>
        </w:tc>
        <w:tc>
          <w:tcPr>
            <w:tcW w:w="2268" w:type="dxa"/>
            <w:tcBorders>
              <w:top w:val="dotted" w:sz="4" w:space="0" w:color="auto"/>
              <w:left w:val="single" w:sz="4" w:space="0" w:color="auto"/>
              <w:bottom w:val="single" w:sz="4" w:space="0" w:color="auto"/>
              <w:right w:val="thinThickThinLargeGap" w:sz="24" w:space="0" w:color="auto"/>
            </w:tcBorders>
            <w:vAlign w:val="center"/>
          </w:tcPr>
          <w:p w14:paraId="50AA4807"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1 090,63 €</w:t>
            </w:r>
          </w:p>
        </w:tc>
        <w:tc>
          <w:tcPr>
            <w:tcW w:w="2694" w:type="dxa"/>
            <w:vMerge/>
            <w:tcBorders>
              <w:left w:val="thinThickThinLargeGap" w:sz="24" w:space="0" w:color="auto"/>
            </w:tcBorders>
            <w:vAlign w:val="center"/>
          </w:tcPr>
          <w:p w14:paraId="2F9A1CFF" w14:textId="77777777" w:rsidR="00F03D23" w:rsidRPr="00F03D23" w:rsidRDefault="00F03D23" w:rsidP="009C1A4A">
            <w:pPr>
              <w:jc w:val="center"/>
              <w:rPr>
                <w:rFonts w:ascii="Arial" w:hAnsi="Arial" w:cs="Arial"/>
                <w:b/>
                <w:bCs/>
                <w:sz w:val="14"/>
                <w:szCs w:val="14"/>
              </w:rPr>
            </w:pPr>
          </w:p>
        </w:tc>
        <w:tc>
          <w:tcPr>
            <w:tcW w:w="2835" w:type="dxa"/>
            <w:tcBorders>
              <w:top w:val="dotted" w:sz="4" w:space="0" w:color="auto"/>
              <w:bottom w:val="single" w:sz="4" w:space="0" w:color="auto"/>
            </w:tcBorders>
            <w:vAlign w:val="center"/>
          </w:tcPr>
          <w:p w14:paraId="46571E0E"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908,50 €</w:t>
            </w:r>
          </w:p>
        </w:tc>
        <w:tc>
          <w:tcPr>
            <w:tcW w:w="2607" w:type="dxa"/>
            <w:tcBorders>
              <w:top w:val="dotted" w:sz="4" w:space="0" w:color="auto"/>
              <w:bottom w:val="single" w:sz="4" w:space="0" w:color="auto"/>
              <w:right w:val="thickThinLargeGap" w:sz="24" w:space="0" w:color="auto"/>
            </w:tcBorders>
            <w:shd w:val="clear" w:color="auto" w:fill="auto"/>
            <w:vAlign w:val="center"/>
          </w:tcPr>
          <w:p w14:paraId="1728DA80"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1 090,63 €</w:t>
            </w:r>
          </w:p>
        </w:tc>
      </w:tr>
      <w:tr w:rsidR="00F03D23" w:rsidRPr="00F03D23" w14:paraId="6F044B3B" w14:textId="77777777" w:rsidTr="009C1A4A">
        <w:trPr>
          <w:trHeight w:val="152"/>
        </w:trPr>
        <w:tc>
          <w:tcPr>
            <w:tcW w:w="3060" w:type="dxa"/>
            <w:vMerge/>
            <w:tcBorders>
              <w:left w:val="thinThickLargeGap" w:sz="24" w:space="0" w:color="auto"/>
              <w:right w:val="single" w:sz="4" w:space="0" w:color="auto"/>
            </w:tcBorders>
            <w:vAlign w:val="center"/>
          </w:tcPr>
          <w:p w14:paraId="32A787A9" w14:textId="77777777" w:rsidR="00F03D23" w:rsidRPr="00F03D23" w:rsidRDefault="00F03D23" w:rsidP="009C1A4A">
            <w:pPr>
              <w:jc w:val="center"/>
              <w:rPr>
                <w:rFonts w:ascii="Arial" w:hAnsi="Arial" w:cs="Arial"/>
                <w:b/>
                <w:bCs/>
                <w:sz w:val="14"/>
                <w:szCs w:val="14"/>
              </w:rPr>
            </w:pPr>
          </w:p>
        </w:tc>
        <w:tc>
          <w:tcPr>
            <w:tcW w:w="2196" w:type="dxa"/>
            <w:vMerge w:val="restart"/>
            <w:tcBorders>
              <w:left w:val="single" w:sz="4" w:space="0" w:color="auto"/>
              <w:bottom w:val="dotted" w:sz="4" w:space="0" w:color="auto"/>
              <w:right w:val="single" w:sz="4" w:space="0" w:color="auto"/>
            </w:tcBorders>
            <w:vAlign w:val="center"/>
          </w:tcPr>
          <w:p w14:paraId="600C347C"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100 % du </w:t>
            </w:r>
            <w:proofErr w:type="spellStart"/>
            <w:r w:rsidRPr="00F03D23">
              <w:rPr>
                <w:rFonts w:ascii="Arial" w:hAnsi="Arial" w:cs="Arial"/>
                <w:sz w:val="14"/>
                <w:szCs w:val="14"/>
              </w:rPr>
              <w:t>coeff</w:t>
            </w:r>
            <w:proofErr w:type="spellEnd"/>
            <w:r w:rsidRPr="00F03D23">
              <w:rPr>
                <w:rFonts w:ascii="Arial" w:hAnsi="Arial" w:cs="Arial"/>
                <w:sz w:val="14"/>
                <w:szCs w:val="14"/>
              </w:rPr>
              <w:t>. 150 pour les 26 ans et plus</w:t>
            </w:r>
            <w:r w:rsidRPr="00F03D23">
              <w:rPr>
                <w:rFonts w:ascii="Arial" w:hAnsi="Arial" w:cs="Arial"/>
                <w:sz w:val="14"/>
                <w:szCs w:val="14"/>
                <w:vertAlign w:val="superscript"/>
              </w:rPr>
              <w:t>3</w:t>
            </w:r>
          </w:p>
        </w:tc>
        <w:tc>
          <w:tcPr>
            <w:tcW w:w="2268" w:type="dxa"/>
            <w:vMerge w:val="restart"/>
            <w:tcBorders>
              <w:left w:val="single" w:sz="4" w:space="0" w:color="auto"/>
              <w:bottom w:val="dotted" w:sz="4" w:space="0" w:color="auto"/>
              <w:right w:val="thinThickThinLargeGap" w:sz="24" w:space="0" w:color="auto"/>
            </w:tcBorders>
            <w:vAlign w:val="center"/>
          </w:tcPr>
          <w:p w14:paraId="4F466DEF"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 xml:space="preserve">100 % du </w:t>
            </w:r>
            <w:proofErr w:type="spellStart"/>
            <w:r w:rsidRPr="00F03D23">
              <w:rPr>
                <w:rFonts w:ascii="Arial" w:hAnsi="Arial" w:cs="Arial"/>
                <w:sz w:val="14"/>
                <w:szCs w:val="14"/>
              </w:rPr>
              <w:t>coeff</w:t>
            </w:r>
            <w:proofErr w:type="spellEnd"/>
            <w:r w:rsidRPr="00F03D23">
              <w:rPr>
                <w:rFonts w:ascii="Arial" w:hAnsi="Arial" w:cs="Arial"/>
                <w:sz w:val="14"/>
                <w:szCs w:val="14"/>
              </w:rPr>
              <w:t>. 160 pour les 26 ans et plus</w:t>
            </w:r>
            <w:r w:rsidRPr="00F03D23">
              <w:rPr>
                <w:rFonts w:ascii="Arial" w:hAnsi="Arial" w:cs="Arial"/>
                <w:sz w:val="14"/>
                <w:szCs w:val="14"/>
                <w:vertAlign w:val="superscript"/>
              </w:rPr>
              <w:t>3</w:t>
            </w:r>
          </w:p>
        </w:tc>
        <w:tc>
          <w:tcPr>
            <w:tcW w:w="2694" w:type="dxa"/>
            <w:vMerge/>
            <w:tcBorders>
              <w:left w:val="thinThickThinLargeGap" w:sz="24" w:space="0" w:color="auto"/>
            </w:tcBorders>
            <w:vAlign w:val="center"/>
          </w:tcPr>
          <w:p w14:paraId="5BF45173" w14:textId="77777777" w:rsidR="00F03D23" w:rsidRPr="00F03D23" w:rsidRDefault="00F03D23" w:rsidP="009C1A4A">
            <w:pPr>
              <w:jc w:val="center"/>
              <w:rPr>
                <w:rFonts w:ascii="Arial" w:hAnsi="Arial" w:cs="Arial"/>
                <w:b/>
                <w:bCs/>
                <w:sz w:val="14"/>
                <w:szCs w:val="14"/>
              </w:rPr>
            </w:pPr>
          </w:p>
        </w:tc>
        <w:tc>
          <w:tcPr>
            <w:tcW w:w="5442" w:type="dxa"/>
            <w:gridSpan w:val="2"/>
            <w:tcBorders>
              <w:top w:val="single" w:sz="4" w:space="0" w:color="auto"/>
              <w:bottom w:val="dotted" w:sz="4" w:space="0" w:color="auto"/>
              <w:right w:val="thickThinLargeGap" w:sz="24" w:space="0" w:color="auto"/>
            </w:tcBorders>
            <w:vAlign w:val="center"/>
          </w:tcPr>
          <w:p w14:paraId="46E58AA2"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70 % du SMIC de 21 ans à 25 ans</w:t>
            </w:r>
            <w:r w:rsidRPr="00F03D23">
              <w:rPr>
                <w:rFonts w:ascii="Arial" w:hAnsi="Arial" w:cs="Arial"/>
                <w:sz w:val="14"/>
                <w:szCs w:val="14"/>
                <w:vertAlign w:val="superscript"/>
              </w:rPr>
              <w:t>4</w:t>
            </w:r>
          </w:p>
        </w:tc>
      </w:tr>
      <w:tr w:rsidR="00F03D23" w:rsidRPr="00F03D23" w14:paraId="572CC0EB" w14:textId="77777777" w:rsidTr="009C1A4A">
        <w:trPr>
          <w:trHeight w:val="195"/>
        </w:trPr>
        <w:tc>
          <w:tcPr>
            <w:tcW w:w="3060" w:type="dxa"/>
            <w:vMerge/>
            <w:tcBorders>
              <w:left w:val="thinThickLargeGap" w:sz="24" w:space="0" w:color="auto"/>
              <w:right w:val="single" w:sz="4" w:space="0" w:color="auto"/>
            </w:tcBorders>
            <w:vAlign w:val="center"/>
          </w:tcPr>
          <w:p w14:paraId="12C7033C" w14:textId="77777777" w:rsidR="00F03D23" w:rsidRPr="00F03D23" w:rsidRDefault="00F03D23" w:rsidP="009C1A4A">
            <w:pPr>
              <w:jc w:val="center"/>
              <w:rPr>
                <w:rFonts w:ascii="Arial" w:hAnsi="Arial" w:cs="Arial"/>
                <w:b/>
                <w:bCs/>
                <w:sz w:val="14"/>
                <w:szCs w:val="14"/>
              </w:rPr>
            </w:pPr>
          </w:p>
        </w:tc>
        <w:tc>
          <w:tcPr>
            <w:tcW w:w="2196" w:type="dxa"/>
            <w:vMerge/>
            <w:tcBorders>
              <w:left w:val="single" w:sz="4" w:space="0" w:color="auto"/>
              <w:bottom w:val="dotted" w:sz="4" w:space="0" w:color="auto"/>
              <w:right w:val="single" w:sz="4" w:space="0" w:color="auto"/>
            </w:tcBorders>
            <w:vAlign w:val="center"/>
          </w:tcPr>
          <w:p w14:paraId="77D3BE61" w14:textId="77777777" w:rsidR="00F03D23" w:rsidRPr="00F03D23" w:rsidRDefault="00F03D23" w:rsidP="009C1A4A">
            <w:pPr>
              <w:jc w:val="center"/>
              <w:rPr>
                <w:rFonts w:ascii="Arial" w:hAnsi="Arial" w:cs="Arial"/>
                <w:sz w:val="14"/>
                <w:szCs w:val="14"/>
              </w:rPr>
            </w:pPr>
          </w:p>
        </w:tc>
        <w:tc>
          <w:tcPr>
            <w:tcW w:w="2268" w:type="dxa"/>
            <w:vMerge/>
            <w:tcBorders>
              <w:left w:val="single" w:sz="4" w:space="0" w:color="auto"/>
              <w:bottom w:val="dotted" w:sz="4" w:space="0" w:color="auto"/>
              <w:right w:val="thinThickThinLargeGap" w:sz="24" w:space="0" w:color="auto"/>
            </w:tcBorders>
            <w:vAlign w:val="center"/>
          </w:tcPr>
          <w:p w14:paraId="113B882D" w14:textId="77777777" w:rsidR="00F03D23" w:rsidRPr="00F03D23" w:rsidRDefault="00F03D23" w:rsidP="009C1A4A">
            <w:pPr>
              <w:jc w:val="center"/>
              <w:rPr>
                <w:rFonts w:ascii="Arial" w:hAnsi="Arial" w:cs="Arial"/>
                <w:sz w:val="14"/>
                <w:szCs w:val="14"/>
              </w:rPr>
            </w:pPr>
          </w:p>
        </w:tc>
        <w:tc>
          <w:tcPr>
            <w:tcW w:w="2694" w:type="dxa"/>
            <w:vMerge/>
            <w:tcBorders>
              <w:left w:val="thinThickThinLargeGap" w:sz="24" w:space="0" w:color="auto"/>
            </w:tcBorders>
            <w:vAlign w:val="center"/>
          </w:tcPr>
          <w:p w14:paraId="33E3E06B" w14:textId="77777777" w:rsidR="00F03D23" w:rsidRPr="00F03D23" w:rsidRDefault="00F03D23" w:rsidP="009C1A4A">
            <w:pPr>
              <w:jc w:val="center"/>
              <w:rPr>
                <w:rFonts w:ascii="Arial" w:hAnsi="Arial" w:cs="Arial"/>
                <w:b/>
                <w:bCs/>
                <w:sz w:val="14"/>
                <w:szCs w:val="14"/>
              </w:rPr>
            </w:pPr>
          </w:p>
        </w:tc>
        <w:tc>
          <w:tcPr>
            <w:tcW w:w="5442" w:type="dxa"/>
            <w:gridSpan w:val="2"/>
            <w:tcBorders>
              <w:top w:val="dotted" w:sz="4" w:space="0" w:color="auto"/>
              <w:bottom w:val="single" w:sz="4" w:space="0" w:color="auto"/>
              <w:right w:val="thickThinLargeGap" w:sz="24" w:space="0" w:color="auto"/>
            </w:tcBorders>
            <w:vAlign w:val="center"/>
          </w:tcPr>
          <w:p w14:paraId="482539F1"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1 122,18 €</w:t>
            </w:r>
          </w:p>
        </w:tc>
      </w:tr>
      <w:tr w:rsidR="00F03D23" w:rsidRPr="00F03D23" w14:paraId="7AB7189B" w14:textId="77777777" w:rsidTr="009C1A4A">
        <w:trPr>
          <w:trHeight w:val="90"/>
        </w:trPr>
        <w:tc>
          <w:tcPr>
            <w:tcW w:w="3060" w:type="dxa"/>
            <w:vMerge/>
            <w:tcBorders>
              <w:left w:val="thinThickLargeGap" w:sz="24" w:space="0" w:color="auto"/>
              <w:right w:val="single" w:sz="4" w:space="0" w:color="auto"/>
            </w:tcBorders>
            <w:vAlign w:val="center"/>
          </w:tcPr>
          <w:p w14:paraId="6AF1E690" w14:textId="77777777" w:rsidR="00F03D23" w:rsidRPr="00F03D23" w:rsidRDefault="00F03D23" w:rsidP="009C1A4A">
            <w:pPr>
              <w:jc w:val="center"/>
              <w:rPr>
                <w:rFonts w:ascii="Arial" w:hAnsi="Arial" w:cs="Arial"/>
                <w:b/>
                <w:bCs/>
                <w:sz w:val="14"/>
                <w:szCs w:val="14"/>
              </w:rPr>
            </w:pPr>
          </w:p>
        </w:tc>
        <w:tc>
          <w:tcPr>
            <w:tcW w:w="2196" w:type="dxa"/>
            <w:vMerge w:val="restart"/>
            <w:tcBorders>
              <w:top w:val="dotted" w:sz="4" w:space="0" w:color="auto"/>
              <w:left w:val="single" w:sz="4" w:space="0" w:color="auto"/>
              <w:right w:val="single" w:sz="4" w:space="0" w:color="auto"/>
            </w:tcBorders>
            <w:vAlign w:val="center"/>
          </w:tcPr>
          <w:p w14:paraId="5D27116E"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1 622,33 €</w:t>
            </w:r>
          </w:p>
        </w:tc>
        <w:tc>
          <w:tcPr>
            <w:tcW w:w="2268" w:type="dxa"/>
            <w:vMerge w:val="restart"/>
            <w:tcBorders>
              <w:top w:val="dotted" w:sz="4" w:space="0" w:color="auto"/>
              <w:left w:val="single" w:sz="4" w:space="0" w:color="auto"/>
              <w:right w:val="thinThickThinLargeGap" w:sz="24" w:space="0" w:color="auto"/>
            </w:tcBorders>
            <w:vAlign w:val="center"/>
          </w:tcPr>
          <w:p w14:paraId="3ED49130"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1 627,80 €</w:t>
            </w:r>
          </w:p>
        </w:tc>
        <w:tc>
          <w:tcPr>
            <w:tcW w:w="2694" w:type="dxa"/>
            <w:vMerge/>
            <w:tcBorders>
              <w:left w:val="thinThickThinLargeGap" w:sz="24" w:space="0" w:color="auto"/>
            </w:tcBorders>
            <w:vAlign w:val="center"/>
          </w:tcPr>
          <w:p w14:paraId="7BD2AB50" w14:textId="77777777" w:rsidR="00F03D23" w:rsidRPr="00F03D23" w:rsidRDefault="00F03D23" w:rsidP="009C1A4A">
            <w:pPr>
              <w:jc w:val="center"/>
              <w:rPr>
                <w:rFonts w:ascii="Arial" w:hAnsi="Arial" w:cs="Arial"/>
                <w:b/>
                <w:bCs/>
                <w:sz w:val="14"/>
                <w:szCs w:val="14"/>
              </w:rPr>
            </w:pPr>
          </w:p>
        </w:tc>
        <w:tc>
          <w:tcPr>
            <w:tcW w:w="5442" w:type="dxa"/>
            <w:gridSpan w:val="2"/>
            <w:tcBorders>
              <w:top w:val="single" w:sz="4" w:space="0" w:color="auto"/>
              <w:bottom w:val="dotted" w:sz="4" w:space="0" w:color="auto"/>
              <w:right w:val="thickThinLargeGap" w:sz="24" w:space="0" w:color="auto"/>
            </w:tcBorders>
            <w:vAlign w:val="center"/>
          </w:tcPr>
          <w:p w14:paraId="5C0303D6"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100 % du SMIC pour les 26 ans et plus</w:t>
            </w:r>
            <w:r w:rsidRPr="00F03D23">
              <w:rPr>
                <w:rFonts w:ascii="Arial" w:hAnsi="Arial" w:cs="Arial"/>
                <w:sz w:val="14"/>
                <w:szCs w:val="14"/>
                <w:vertAlign w:val="superscript"/>
              </w:rPr>
              <w:t>5</w:t>
            </w:r>
          </w:p>
        </w:tc>
      </w:tr>
      <w:tr w:rsidR="00F03D23" w:rsidRPr="00F03D23" w14:paraId="47090635" w14:textId="77777777" w:rsidTr="009C1A4A">
        <w:trPr>
          <w:trHeight w:val="338"/>
        </w:trPr>
        <w:tc>
          <w:tcPr>
            <w:tcW w:w="3060" w:type="dxa"/>
            <w:vMerge/>
            <w:tcBorders>
              <w:left w:val="thinThickLargeGap" w:sz="24" w:space="0" w:color="auto"/>
              <w:bottom w:val="thickThinLargeGap" w:sz="24" w:space="0" w:color="auto"/>
              <w:right w:val="single" w:sz="4" w:space="0" w:color="auto"/>
            </w:tcBorders>
            <w:vAlign w:val="center"/>
          </w:tcPr>
          <w:p w14:paraId="5D37F9C7" w14:textId="77777777" w:rsidR="00F03D23" w:rsidRPr="00F03D23" w:rsidRDefault="00F03D23" w:rsidP="009C1A4A">
            <w:pPr>
              <w:jc w:val="center"/>
              <w:rPr>
                <w:rFonts w:ascii="Arial" w:hAnsi="Arial" w:cs="Arial"/>
                <w:b/>
                <w:bCs/>
                <w:sz w:val="14"/>
                <w:szCs w:val="14"/>
              </w:rPr>
            </w:pPr>
          </w:p>
        </w:tc>
        <w:tc>
          <w:tcPr>
            <w:tcW w:w="2196" w:type="dxa"/>
            <w:vMerge/>
            <w:tcBorders>
              <w:left w:val="single" w:sz="4" w:space="0" w:color="auto"/>
              <w:bottom w:val="thickThinLargeGap" w:sz="24" w:space="0" w:color="auto"/>
              <w:right w:val="single" w:sz="4" w:space="0" w:color="auto"/>
            </w:tcBorders>
            <w:vAlign w:val="center"/>
          </w:tcPr>
          <w:p w14:paraId="477630B8" w14:textId="77777777" w:rsidR="00F03D23" w:rsidRPr="00F03D23" w:rsidRDefault="00F03D23" w:rsidP="009C1A4A">
            <w:pPr>
              <w:jc w:val="center"/>
              <w:rPr>
                <w:rFonts w:ascii="Arial" w:hAnsi="Arial" w:cs="Arial"/>
                <w:sz w:val="14"/>
                <w:szCs w:val="14"/>
              </w:rPr>
            </w:pPr>
          </w:p>
        </w:tc>
        <w:tc>
          <w:tcPr>
            <w:tcW w:w="2268" w:type="dxa"/>
            <w:vMerge/>
            <w:tcBorders>
              <w:left w:val="single" w:sz="4" w:space="0" w:color="auto"/>
              <w:bottom w:val="thickThinLargeGap" w:sz="24" w:space="0" w:color="auto"/>
              <w:right w:val="thinThickThinLargeGap" w:sz="24" w:space="0" w:color="auto"/>
            </w:tcBorders>
            <w:vAlign w:val="center"/>
          </w:tcPr>
          <w:p w14:paraId="1C37CC20" w14:textId="77777777" w:rsidR="00F03D23" w:rsidRPr="00F03D23" w:rsidRDefault="00F03D23" w:rsidP="009C1A4A">
            <w:pPr>
              <w:jc w:val="center"/>
              <w:rPr>
                <w:rFonts w:ascii="Arial" w:hAnsi="Arial" w:cs="Arial"/>
                <w:sz w:val="14"/>
                <w:szCs w:val="14"/>
              </w:rPr>
            </w:pPr>
          </w:p>
        </w:tc>
        <w:tc>
          <w:tcPr>
            <w:tcW w:w="2694" w:type="dxa"/>
            <w:vMerge/>
            <w:tcBorders>
              <w:left w:val="thinThickThinLargeGap" w:sz="24" w:space="0" w:color="auto"/>
              <w:bottom w:val="thickThinLargeGap" w:sz="24" w:space="0" w:color="auto"/>
            </w:tcBorders>
            <w:vAlign w:val="center"/>
          </w:tcPr>
          <w:p w14:paraId="239EB3D4" w14:textId="77777777" w:rsidR="00F03D23" w:rsidRPr="00F03D23" w:rsidRDefault="00F03D23" w:rsidP="009C1A4A">
            <w:pPr>
              <w:jc w:val="center"/>
              <w:rPr>
                <w:rFonts w:ascii="Arial" w:hAnsi="Arial" w:cs="Arial"/>
                <w:b/>
                <w:bCs/>
                <w:sz w:val="14"/>
                <w:szCs w:val="14"/>
              </w:rPr>
            </w:pPr>
          </w:p>
        </w:tc>
        <w:tc>
          <w:tcPr>
            <w:tcW w:w="5442" w:type="dxa"/>
            <w:gridSpan w:val="2"/>
            <w:tcBorders>
              <w:top w:val="dotted" w:sz="4" w:space="0" w:color="auto"/>
              <w:bottom w:val="thickThinLargeGap" w:sz="24" w:space="0" w:color="auto"/>
              <w:right w:val="thickThinLargeGap" w:sz="24" w:space="0" w:color="auto"/>
            </w:tcBorders>
            <w:vAlign w:val="center"/>
          </w:tcPr>
          <w:p w14:paraId="1A659B71" w14:textId="77777777" w:rsidR="00F03D23" w:rsidRPr="00F03D23" w:rsidRDefault="00F03D23" w:rsidP="009C1A4A">
            <w:pPr>
              <w:jc w:val="center"/>
              <w:rPr>
                <w:rFonts w:ascii="Arial" w:hAnsi="Arial" w:cs="Arial"/>
                <w:sz w:val="14"/>
                <w:szCs w:val="14"/>
              </w:rPr>
            </w:pPr>
            <w:r w:rsidRPr="00F03D23">
              <w:rPr>
                <w:rFonts w:ascii="Arial" w:hAnsi="Arial" w:cs="Arial"/>
                <w:sz w:val="14"/>
                <w:szCs w:val="14"/>
              </w:rPr>
              <w:t>1 603,12 €</w:t>
            </w:r>
          </w:p>
        </w:tc>
      </w:tr>
    </w:tbl>
    <w:p w14:paraId="2AACE95E" w14:textId="77777777" w:rsidR="00F03D23" w:rsidRPr="00F03D23" w:rsidRDefault="00F03D23" w:rsidP="00195041">
      <w:pPr>
        <w:jc w:val="both"/>
        <w:rPr>
          <w:rFonts w:ascii="Arial" w:hAnsi="Arial" w:cs="Arial"/>
          <w:b/>
          <w:sz w:val="16"/>
          <w:szCs w:val="16"/>
        </w:rPr>
      </w:pPr>
    </w:p>
    <w:sectPr w:rsidR="00F03D23" w:rsidRPr="00F03D23" w:rsidSect="001C2D01">
      <w:headerReference w:type="default" r:id="rId8"/>
      <w:footerReference w:type="even" r:id="rId9"/>
      <w:footerReference w:type="default" r:id="rId10"/>
      <w:headerReference w:type="first" r:id="rId11"/>
      <w:footerReference w:type="first" r:id="rId12"/>
      <w:footnotePr>
        <w:numRestart w:val="eachPage"/>
      </w:footnotePr>
      <w:type w:val="continuous"/>
      <w:pgSz w:w="16838" w:h="11906" w:orient="landscape" w:code="9"/>
      <w:pgMar w:top="1418" w:right="1701" w:bottom="1416" w:left="1418" w:header="1417"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ABB70" w14:textId="77777777" w:rsidR="00BF4D03" w:rsidRDefault="00BF4D03">
      <w:r>
        <w:separator/>
      </w:r>
    </w:p>
  </w:endnote>
  <w:endnote w:type="continuationSeparator" w:id="0">
    <w:p w14:paraId="14A64189" w14:textId="77777777" w:rsidR="00BF4D03" w:rsidRDefault="00BF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panose1 w:val="02000506030000020004"/>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0AE6"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5A48F8CA"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004E" w14:textId="77777777" w:rsidR="00077E37" w:rsidRPr="002D2740" w:rsidRDefault="00D5341B" w:rsidP="002D2740">
    <w:pPr>
      <w:pStyle w:val="Pieddepage"/>
      <w:jc w:val="right"/>
      <w:rPr>
        <w:rFonts w:ascii="Proxima Nova Rg" w:hAnsi="Proxima Nova Rg"/>
      </w:rPr>
    </w:pPr>
    <w:r w:rsidRPr="002D2740">
      <w:rPr>
        <w:rFonts w:ascii="Proxima Nova Rg" w:hAnsi="Proxima Nova Rg"/>
      </w:rPr>
      <w:fldChar w:fldCharType="begin"/>
    </w:r>
    <w:r w:rsidRPr="002D2740">
      <w:rPr>
        <w:rFonts w:ascii="Proxima Nova Rg" w:hAnsi="Proxima Nova Rg"/>
      </w:rPr>
      <w:instrText>PAGE   \* MERGEFORMAT</w:instrText>
    </w:r>
    <w:r w:rsidRPr="002D2740">
      <w:rPr>
        <w:rFonts w:ascii="Proxima Nova Rg" w:hAnsi="Proxima Nova Rg"/>
      </w:rPr>
      <w:fldChar w:fldCharType="separate"/>
    </w:r>
    <w:r w:rsidR="003B0D59">
      <w:rPr>
        <w:rFonts w:ascii="Proxima Nova Rg" w:hAnsi="Proxima Nova Rg"/>
        <w:noProof/>
      </w:rPr>
      <w:t>2</w:t>
    </w:r>
    <w:r w:rsidRPr="002D2740">
      <w:rPr>
        <w:rFonts w:ascii="Proxima Nova Rg" w:hAnsi="Proxima Nova R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A7D1F" w14:textId="376E1476" w:rsidR="009378E9" w:rsidRDefault="005427DC">
    <w:pPr>
      <w:pStyle w:val="Pieddepage"/>
    </w:pPr>
    <w:r w:rsidRPr="006A18C8">
      <w:rPr>
        <w:rFonts w:ascii="Arial" w:hAnsi="Arial" w:cs="Arial"/>
        <w:noProof/>
        <w:color w:val="2C2E83"/>
      </w:rPr>
      <w:drawing>
        <wp:anchor distT="0" distB="0" distL="114300" distR="114300" simplePos="0" relativeHeight="251659264" behindDoc="1" locked="0" layoutInCell="1" allowOverlap="1" wp14:anchorId="70F5703D" wp14:editId="791C6397">
          <wp:simplePos x="0" y="0"/>
          <wp:positionH relativeFrom="column">
            <wp:posOffset>2261870</wp:posOffset>
          </wp:positionH>
          <wp:positionV relativeFrom="paragraph">
            <wp:posOffset>-1044575</wp:posOffset>
          </wp:positionV>
          <wp:extent cx="5817870" cy="34003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817870" cy="3400343"/>
                  </a:xfrm>
                  <a:prstGeom prst="rect">
                    <a:avLst/>
                  </a:prstGeom>
                </pic:spPr>
              </pic:pic>
            </a:graphicData>
          </a:graphic>
          <wp14:sizeRelH relativeFrom="margin">
            <wp14:pctWidth>0</wp14:pctWidth>
          </wp14:sizeRelH>
          <wp14:sizeRelV relativeFrom="margin">
            <wp14:pctHeight>0</wp14:pctHeight>
          </wp14:sizeRelV>
        </wp:anchor>
      </w:drawing>
    </w:r>
    <w:r w:rsidRPr="005427D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4D4A162E" wp14:editId="35137452">
              <wp:simplePos x="0" y="0"/>
              <wp:positionH relativeFrom="column">
                <wp:posOffset>-666750</wp:posOffset>
              </wp:positionH>
              <wp:positionV relativeFrom="paragraph">
                <wp:posOffset>190500</wp:posOffset>
              </wp:positionV>
              <wp:extent cx="3916680" cy="10439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3916680" cy="1043940"/>
                      </a:xfrm>
                      <a:prstGeom prst="rect">
                        <a:avLst/>
                      </a:prstGeom>
                      <a:noFill/>
                      <a:ln w="6350">
                        <a:noFill/>
                      </a:ln>
                    </wps:spPr>
                    <wps:txb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2"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3"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A162E" id="_x0000_t202" coordsize="21600,21600" o:spt="202" path="m,l,21600r21600,l21600,xe">
              <v:stroke joinstyle="miter"/>
              <v:path gradientshapeok="t" o:connecttype="rect"/>
            </v:shapetype>
            <v:shape id="Zone de texte 3" o:spid="_x0000_s1026" type="#_x0000_t202" style="position:absolute;margin-left:-52.5pt;margin-top:15pt;width:308.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" filled="f" stroked="f" strokeweight=".5pt">
              <v:textbo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4"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5"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6062B" w14:textId="77777777" w:rsidR="00BF4D03" w:rsidRDefault="00BF4D03">
      <w:r>
        <w:separator/>
      </w:r>
    </w:p>
  </w:footnote>
  <w:footnote w:type="continuationSeparator" w:id="0">
    <w:p w14:paraId="2A47BE05" w14:textId="77777777" w:rsidR="00BF4D03" w:rsidRDefault="00BF4D03">
      <w:r>
        <w:continuationSeparator/>
      </w:r>
    </w:p>
  </w:footnote>
  <w:footnote w:id="1">
    <w:p w14:paraId="70CE04B1" w14:textId="77777777"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Fonts w:ascii="Arial" w:hAnsi="Arial" w:cs="Arial"/>
          <w:sz w:val="12"/>
          <w:szCs w:val="12"/>
        </w:rPr>
        <w:t xml:space="preserve"> Cf. accord collectif national étendu du 7 mars 2016 modifié relatif à la rémunération des jeunes préparant le BP de préparateur en pharmacie ou le DEUST de préparateur/technicien en pharmacie et à la classification des emplois de préparateur en pharmacie d’officine et accord collectif national étendu du 6 avril 2021 relatif à la rémunération des jeunes préparant le BP de préparateur en pharmacie ou le DEUST de préparateur/technicien en pharmacie dans la branche professionnelle de la Pharmacie d’officine.</w:t>
      </w:r>
    </w:p>
  </w:footnote>
  <w:footnote w:id="2">
    <w:p w14:paraId="2A96E334" w14:textId="77777777"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Fonts w:ascii="Arial" w:hAnsi="Arial" w:cs="Arial"/>
          <w:sz w:val="12"/>
          <w:szCs w:val="12"/>
        </w:rPr>
        <w:t xml:space="preserve"> Réf. aux minima conventionnels définis par accord collectif national étendu du 16 novembre 2021 ainsi qu’au montant du SMIC au 1</w:t>
      </w:r>
      <w:r w:rsidRPr="00710EEB">
        <w:rPr>
          <w:rFonts w:ascii="Arial" w:hAnsi="Arial" w:cs="Arial"/>
          <w:sz w:val="12"/>
          <w:szCs w:val="12"/>
          <w:vertAlign w:val="superscript"/>
        </w:rPr>
        <w:t>er</w:t>
      </w:r>
      <w:r w:rsidRPr="00710EEB">
        <w:rPr>
          <w:rFonts w:ascii="Arial" w:hAnsi="Arial" w:cs="Arial"/>
          <w:sz w:val="12"/>
          <w:szCs w:val="12"/>
        </w:rPr>
        <w:t> janvier 2022. Le présent tableau fait apparaître des formules de calcul exprimées en pourcentages du SMIC ou de coefficients, selon la formule la plus favorable pour les salariés, conformément aux dispositions du code du travail.</w:t>
      </w:r>
    </w:p>
  </w:footnote>
  <w:footnote w:id="3">
    <w:p w14:paraId="799700C1" w14:textId="77777777"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Fonts w:ascii="Arial" w:hAnsi="Arial" w:cs="Arial"/>
          <w:sz w:val="12"/>
          <w:szCs w:val="12"/>
        </w:rPr>
        <w:t xml:space="preserve"> Le code du travail prévoit une rémunération égale à 100 % du SMIC ou du coefficient de l’emploi occupé s’il est supérieur, pour les apprentis âgés de 26 ans et plus.</w:t>
      </w:r>
    </w:p>
  </w:footnote>
  <w:footnote w:id="4">
    <w:p w14:paraId="3104D52A" w14:textId="77777777"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Fonts w:ascii="Arial" w:hAnsi="Arial" w:cs="Arial"/>
          <w:sz w:val="12"/>
          <w:szCs w:val="12"/>
        </w:rPr>
        <w:t xml:space="preserve"> Le code du travail prévoit une rémunération égale à 70 % du SMIC pour les titulaires d’un contrat de professionnalisation âgés de 21 ans à 25 ans inclus.</w:t>
      </w:r>
    </w:p>
  </w:footnote>
  <w:footnote w:id="5">
    <w:p w14:paraId="21727936" w14:textId="77777777"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Fonts w:ascii="Arial" w:hAnsi="Arial" w:cs="Arial"/>
          <w:sz w:val="12"/>
          <w:szCs w:val="12"/>
        </w:rPr>
        <w:t xml:space="preserve"> Le code du travail prévoit une rémunération égale à 100 % du SMIC, ou à 85 % du coefficient 100 si plus favorable, pour les titulaires d’un contrat de professionnalisation âgés de 26 ans et plus.</w:t>
      </w:r>
    </w:p>
  </w:footnote>
  <w:footnote w:id="6">
    <w:p w14:paraId="3FA0D500" w14:textId="512C7233" w:rsidR="00F03D23" w:rsidRPr="00710EEB" w:rsidRDefault="00F03D23" w:rsidP="00F03D23">
      <w:pPr>
        <w:pStyle w:val="Notedebasdepage"/>
        <w:jc w:val="both"/>
        <w:rPr>
          <w:rFonts w:ascii="Arial" w:hAnsi="Arial" w:cs="Arial"/>
          <w:sz w:val="12"/>
          <w:szCs w:val="12"/>
        </w:rPr>
      </w:pPr>
      <w:r w:rsidRPr="00710EEB">
        <w:rPr>
          <w:rStyle w:val="Appelnotedebasdep"/>
          <w:rFonts w:ascii="Arial" w:hAnsi="Arial" w:cs="Arial"/>
          <w:sz w:val="12"/>
          <w:szCs w:val="12"/>
        </w:rPr>
        <w:footnoteRef/>
      </w:r>
      <w:r w:rsidRPr="00710EEB">
        <w:rPr>
          <w:rStyle w:val="Appelnotedebasdep"/>
          <w:rFonts w:ascii="Arial" w:hAnsi="Arial" w:cs="Arial"/>
          <w:sz w:val="12"/>
          <w:szCs w:val="12"/>
        </w:rPr>
        <w:t xml:space="preserve"> </w:t>
      </w:r>
      <w:r w:rsidRPr="00710EEB">
        <w:rPr>
          <w:rFonts w:ascii="Arial" w:hAnsi="Arial" w:cs="Arial"/>
          <w:sz w:val="12"/>
          <w:szCs w:val="12"/>
        </w:rPr>
        <w:t xml:space="preserve">Majorations pour les titulaires d’un baccalauréat professionnel ou équivalent (baccalauréat technologique par exemple) : 65 % du SMIC pour les jeunes âgés de moins de 21 ans (soit 1 042,03 euros) et 80 % du SMIC pour les jeunes âgés de 21 à 25 ans (soit 1 282,50 euros). Majoration pour les jeunes de moins de 26 ans titulaires d’un diplôme de niveau 5 (ex-niveau III) ou équivalent (BTS, DUT…) : 9O % du SMIC ou 100 % du coefficient 100 selon la formule la plus favorable pour le salarié (soit, au </w:t>
      </w:r>
      <w:r w:rsidR="00865B53">
        <w:rPr>
          <w:rFonts w:ascii="Arial" w:hAnsi="Arial" w:cs="Arial"/>
          <w:sz w:val="12"/>
          <w:szCs w:val="12"/>
        </w:rPr>
        <w:t>16 mars 2022</w:t>
      </w:r>
      <w:r w:rsidRPr="00710EEB">
        <w:rPr>
          <w:rFonts w:ascii="Arial" w:hAnsi="Arial" w:cs="Arial"/>
          <w:sz w:val="12"/>
          <w:szCs w:val="12"/>
        </w:rPr>
        <w:t> : 100 % du coefficient 100 : 1 595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F3E51" w14:textId="5B4414A4" w:rsidR="00B00CC3" w:rsidRDefault="003F5249">
    <w:pPr>
      <w:pStyle w:val="En-tte"/>
    </w:pPr>
    <w:r>
      <w:rPr>
        <w:noProof/>
      </w:rPr>
      <w:drawing>
        <wp:anchor distT="0" distB="0" distL="114300" distR="114300" simplePos="0" relativeHeight="251663360" behindDoc="1" locked="0" layoutInCell="1" allowOverlap="1" wp14:anchorId="5DD8B95C" wp14:editId="68C1D657">
          <wp:simplePos x="0" y="0"/>
          <wp:positionH relativeFrom="column">
            <wp:posOffset>-186055</wp:posOffset>
          </wp:positionH>
          <wp:positionV relativeFrom="paragraph">
            <wp:posOffset>-661670</wp:posOffset>
          </wp:positionV>
          <wp:extent cx="723900" cy="680720"/>
          <wp:effectExtent l="0" t="0" r="0" b="5080"/>
          <wp:wrapThrough wrapText="bothSides">
            <wp:wrapPolygon edited="0">
              <wp:start x="2274" y="0"/>
              <wp:lineTo x="1137" y="1813"/>
              <wp:lineTo x="2842" y="19343"/>
              <wp:lineTo x="0" y="19343"/>
              <wp:lineTo x="0" y="21157"/>
              <wp:lineTo x="21032" y="21157"/>
              <wp:lineTo x="21032" y="19343"/>
              <wp:lineTo x="18189" y="19343"/>
              <wp:lineTo x="20463" y="1813"/>
              <wp:lineTo x="17621" y="0"/>
              <wp:lineTo x="5684" y="0"/>
              <wp:lineTo x="2274" y="0"/>
            </wp:wrapPolygon>
          </wp:wrapThrough>
          <wp:docPr id="4"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sig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D39B9" w14:textId="7E96B9CC" w:rsidR="0075608E" w:rsidRDefault="000525EE" w:rsidP="00046E40">
    <w:pPr>
      <w:pStyle w:val="En-tte"/>
      <w:ind w:left="-709"/>
    </w:pPr>
    <w:r>
      <w:rPr>
        <w:noProof/>
      </w:rPr>
      <w:drawing>
        <wp:anchor distT="0" distB="0" distL="114300" distR="114300" simplePos="0" relativeHeight="251657216" behindDoc="1" locked="0" layoutInCell="1" allowOverlap="1" wp14:anchorId="1670111E" wp14:editId="7762CE94">
          <wp:simplePos x="0" y="0"/>
          <wp:positionH relativeFrom="column">
            <wp:posOffset>-347980</wp:posOffset>
          </wp:positionH>
          <wp:positionV relativeFrom="paragraph">
            <wp:posOffset>-690880</wp:posOffset>
          </wp:positionV>
          <wp:extent cx="990600" cy="931545"/>
          <wp:effectExtent l="0" t="0" r="0" b="1905"/>
          <wp:wrapThrough wrapText="bothSides">
            <wp:wrapPolygon edited="0">
              <wp:start x="2908" y="0"/>
              <wp:lineTo x="1246" y="1767"/>
              <wp:lineTo x="0" y="19877"/>
              <wp:lineTo x="0" y="21202"/>
              <wp:lineTo x="21185" y="21202"/>
              <wp:lineTo x="21185" y="19877"/>
              <wp:lineTo x="19108" y="14135"/>
              <wp:lineTo x="19523" y="7067"/>
              <wp:lineTo x="18277" y="0"/>
              <wp:lineTo x="5400" y="0"/>
              <wp:lineTo x="2908"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94C"/>
    <w:multiLevelType w:val="hybridMultilevel"/>
    <w:tmpl w:val="35DCB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601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B10E7"/>
    <w:multiLevelType w:val="hybridMultilevel"/>
    <w:tmpl w:val="480A2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4631E"/>
    <w:multiLevelType w:val="hybridMultilevel"/>
    <w:tmpl w:val="8C8EA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C1CE3"/>
    <w:multiLevelType w:val="hybridMultilevel"/>
    <w:tmpl w:val="BFEC3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9543A"/>
    <w:multiLevelType w:val="hybridMultilevel"/>
    <w:tmpl w:val="14009D06"/>
    <w:lvl w:ilvl="0" w:tplc="0BF2AA24">
      <w:numFmt w:val="bullet"/>
      <w:lvlText w:val="-"/>
      <w:lvlJc w:val="left"/>
      <w:pPr>
        <w:ind w:left="720" w:hanging="360"/>
      </w:pPr>
      <w:rPr>
        <w:rFonts w:ascii="Proxima Nova Rg" w:eastAsia="Calibri" w:hAnsi="Proxima Nova Rg"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B00C4"/>
    <w:multiLevelType w:val="hybridMultilevel"/>
    <w:tmpl w:val="1FA68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42682"/>
    <w:multiLevelType w:val="hybridMultilevel"/>
    <w:tmpl w:val="29A2A49E"/>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A72C3D"/>
    <w:multiLevelType w:val="hybridMultilevel"/>
    <w:tmpl w:val="93F46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683AC8"/>
    <w:multiLevelType w:val="hybridMultilevel"/>
    <w:tmpl w:val="A5121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C0267C"/>
    <w:multiLevelType w:val="hybridMultilevel"/>
    <w:tmpl w:val="69EC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4C09A2"/>
    <w:multiLevelType w:val="hybridMultilevel"/>
    <w:tmpl w:val="0ADA9BDC"/>
    <w:lvl w:ilvl="0" w:tplc="6AC2169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321D30D8"/>
    <w:multiLevelType w:val="hybridMultilevel"/>
    <w:tmpl w:val="EEFCFFBA"/>
    <w:lvl w:ilvl="0" w:tplc="FDFAF8A8">
      <w:numFmt w:val="bullet"/>
      <w:lvlText w:val="-"/>
      <w:lvlJc w:val="left"/>
      <w:pPr>
        <w:ind w:left="720" w:hanging="360"/>
      </w:pPr>
      <w:rPr>
        <w:rFonts w:ascii="Proxima Nova Rg" w:eastAsia="Times New Roman" w:hAnsi="Proxima Nova Rg"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51587B"/>
    <w:multiLevelType w:val="hybridMultilevel"/>
    <w:tmpl w:val="F3AEE4CC"/>
    <w:lvl w:ilvl="0" w:tplc="7846A654">
      <w:start w:val="3"/>
      <w:numFmt w:val="bullet"/>
      <w:lvlText w:val="-"/>
      <w:lvlJc w:val="left"/>
      <w:pPr>
        <w:ind w:left="720" w:hanging="360"/>
      </w:pPr>
      <w:rPr>
        <w:rFonts w:ascii="Proxima Nova Rg" w:eastAsia="Times New Roman" w:hAnsi="Proxima Nova Rg"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E3BD3"/>
    <w:multiLevelType w:val="hybridMultilevel"/>
    <w:tmpl w:val="9EAC9F84"/>
    <w:lvl w:ilvl="0" w:tplc="F830E3B8">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5" w15:restartNumberingAfterBreak="0">
    <w:nsid w:val="35442378"/>
    <w:multiLevelType w:val="hybridMultilevel"/>
    <w:tmpl w:val="5CE667B0"/>
    <w:lvl w:ilvl="0" w:tplc="7108D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15:restartNumberingAfterBreak="0">
    <w:nsid w:val="370736BF"/>
    <w:multiLevelType w:val="hybridMultilevel"/>
    <w:tmpl w:val="52DAF0CE"/>
    <w:lvl w:ilvl="0" w:tplc="DEB69D5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CB1F57"/>
    <w:multiLevelType w:val="hybridMultilevel"/>
    <w:tmpl w:val="29920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5652E7"/>
    <w:multiLevelType w:val="hybridMultilevel"/>
    <w:tmpl w:val="8084B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B6503C"/>
    <w:multiLevelType w:val="hybridMultilevel"/>
    <w:tmpl w:val="A2FC1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164114"/>
    <w:multiLevelType w:val="hybridMultilevel"/>
    <w:tmpl w:val="A4E8D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0E7F1E"/>
    <w:multiLevelType w:val="hybridMultilevel"/>
    <w:tmpl w:val="E50C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215950"/>
    <w:multiLevelType w:val="hybridMultilevel"/>
    <w:tmpl w:val="3B98AA5C"/>
    <w:lvl w:ilvl="0" w:tplc="92262308">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3" w15:restartNumberingAfterBreak="0">
    <w:nsid w:val="489B3396"/>
    <w:multiLevelType w:val="hybridMultilevel"/>
    <w:tmpl w:val="8A963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416415"/>
    <w:multiLevelType w:val="hybridMultilevel"/>
    <w:tmpl w:val="68C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243367"/>
    <w:multiLevelType w:val="hybridMultilevel"/>
    <w:tmpl w:val="0E18304E"/>
    <w:lvl w:ilvl="0" w:tplc="7E46C87A">
      <w:start w:val="1"/>
      <w:numFmt w:val="upp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6" w15:restartNumberingAfterBreak="0">
    <w:nsid w:val="50A930B7"/>
    <w:multiLevelType w:val="hybridMultilevel"/>
    <w:tmpl w:val="00FC1C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AF2CF6"/>
    <w:multiLevelType w:val="hybridMultilevel"/>
    <w:tmpl w:val="0B201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4275D3"/>
    <w:multiLevelType w:val="hybridMultilevel"/>
    <w:tmpl w:val="E4C4C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5C7CCA"/>
    <w:multiLevelType w:val="hybridMultilevel"/>
    <w:tmpl w:val="8EDC2968"/>
    <w:lvl w:ilvl="0" w:tplc="F37A4CE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0" w15:restartNumberingAfterBreak="0">
    <w:nsid w:val="65117E34"/>
    <w:multiLevelType w:val="hybridMultilevel"/>
    <w:tmpl w:val="ECEC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FAA28A7"/>
    <w:multiLevelType w:val="hybridMultilevel"/>
    <w:tmpl w:val="81DEB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104BBA"/>
    <w:multiLevelType w:val="hybridMultilevel"/>
    <w:tmpl w:val="DDB4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E6760"/>
    <w:multiLevelType w:val="hybridMultilevel"/>
    <w:tmpl w:val="48E62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25004B"/>
    <w:multiLevelType w:val="hybridMultilevel"/>
    <w:tmpl w:val="EB42E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32"/>
  </w:num>
  <w:num w:numId="4">
    <w:abstractNumId w:val="24"/>
  </w:num>
  <w:num w:numId="5">
    <w:abstractNumId w:val="2"/>
  </w:num>
  <w:num w:numId="6">
    <w:abstractNumId w:val="19"/>
  </w:num>
  <w:num w:numId="7">
    <w:abstractNumId w:val="7"/>
  </w:num>
  <w:num w:numId="8">
    <w:abstractNumId w:val="1"/>
  </w:num>
  <w:num w:numId="9">
    <w:abstractNumId w:val="25"/>
  </w:num>
  <w:num w:numId="10">
    <w:abstractNumId w:val="10"/>
  </w:num>
  <w:num w:numId="11">
    <w:abstractNumId w:val="30"/>
  </w:num>
  <w:num w:numId="12">
    <w:abstractNumId w:val="0"/>
  </w:num>
  <w:num w:numId="13">
    <w:abstractNumId w:val="15"/>
  </w:num>
  <w:num w:numId="14">
    <w:abstractNumId w:val="14"/>
  </w:num>
  <w:num w:numId="15">
    <w:abstractNumId w:val="6"/>
  </w:num>
  <w:num w:numId="16">
    <w:abstractNumId w:val="13"/>
  </w:num>
  <w:num w:numId="17">
    <w:abstractNumId w:val="8"/>
  </w:num>
  <w:num w:numId="18">
    <w:abstractNumId w:val="9"/>
  </w:num>
  <w:num w:numId="19">
    <w:abstractNumId w:val="21"/>
  </w:num>
  <w:num w:numId="20">
    <w:abstractNumId w:val="31"/>
  </w:num>
  <w:num w:numId="21">
    <w:abstractNumId w:val="33"/>
  </w:num>
  <w:num w:numId="22">
    <w:abstractNumId w:val="20"/>
  </w:num>
  <w:num w:numId="23">
    <w:abstractNumId w:val="18"/>
  </w:num>
  <w:num w:numId="24">
    <w:abstractNumId w:val="23"/>
  </w:num>
  <w:num w:numId="25">
    <w:abstractNumId w:val="27"/>
  </w:num>
  <w:num w:numId="26">
    <w:abstractNumId w:val="28"/>
  </w:num>
  <w:num w:numId="27">
    <w:abstractNumId w:val="26"/>
  </w:num>
  <w:num w:numId="28">
    <w:abstractNumId w:val="34"/>
  </w:num>
  <w:num w:numId="29">
    <w:abstractNumId w:val="17"/>
  </w:num>
  <w:num w:numId="30">
    <w:abstractNumId w:val="3"/>
  </w:num>
  <w:num w:numId="31">
    <w:abstractNumId w:val="5"/>
  </w:num>
  <w:num w:numId="32">
    <w:abstractNumId w:val="22"/>
  </w:num>
  <w:num w:numId="33">
    <w:abstractNumId w:val="12"/>
  </w:num>
  <w:num w:numId="34">
    <w:abstractNumId w:val="11"/>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111EF"/>
    <w:rsid w:val="00015A4E"/>
    <w:rsid w:val="00027A35"/>
    <w:rsid w:val="0003390B"/>
    <w:rsid w:val="0003461B"/>
    <w:rsid w:val="000372F5"/>
    <w:rsid w:val="00043090"/>
    <w:rsid w:val="00046E40"/>
    <w:rsid w:val="00047FDE"/>
    <w:rsid w:val="00051D6D"/>
    <w:rsid w:val="000525EE"/>
    <w:rsid w:val="00052E9A"/>
    <w:rsid w:val="00060DFB"/>
    <w:rsid w:val="00061ABF"/>
    <w:rsid w:val="00063E1C"/>
    <w:rsid w:val="000674BB"/>
    <w:rsid w:val="000700F5"/>
    <w:rsid w:val="00074FA5"/>
    <w:rsid w:val="00077E37"/>
    <w:rsid w:val="000823AF"/>
    <w:rsid w:val="00084206"/>
    <w:rsid w:val="00095958"/>
    <w:rsid w:val="000959A6"/>
    <w:rsid w:val="000967D3"/>
    <w:rsid w:val="00097169"/>
    <w:rsid w:val="000A2ED0"/>
    <w:rsid w:val="000B6390"/>
    <w:rsid w:val="000B785D"/>
    <w:rsid w:val="000C0BF2"/>
    <w:rsid w:val="000C0C10"/>
    <w:rsid w:val="000C60AA"/>
    <w:rsid w:val="000D0B3F"/>
    <w:rsid w:val="000D0CA1"/>
    <w:rsid w:val="000D1A79"/>
    <w:rsid w:val="000E3215"/>
    <w:rsid w:val="000E5458"/>
    <w:rsid w:val="000F0D1A"/>
    <w:rsid w:val="000F564E"/>
    <w:rsid w:val="001012F8"/>
    <w:rsid w:val="00101E97"/>
    <w:rsid w:val="00104527"/>
    <w:rsid w:val="00105DAB"/>
    <w:rsid w:val="00105ED8"/>
    <w:rsid w:val="0010719F"/>
    <w:rsid w:val="001107F3"/>
    <w:rsid w:val="00110E2E"/>
    <w:rsid w:val="00113D2B"/>
    <w:rsid w:val="00115877"/>
    <w:rsid w:val="0012204B"/>
    <w:rsid w:val="00130429"/>
    <w:rsid w:val="001313EA"/>
    <w:rsid w:val="001443B3"/>
    <w:rsid w:val="001459BF"/>
    <w:rsid w:val="0015145D"/>
    <w:rsid w:val="00151FC4"/>
    <w:rsid w:val="00154AE3"/>
    <w:rsid w:val="00167831"/>
    <w:rsid w:val="00177175"/>
    <w:rsid w:val="00184593"/>
    <w:rsid w:val="00186086"/>
    <w:rsid w:val="00186CEC"/>
    <w:rsid w:val="00187E9D"/>
    <w:rsid w:val="0019188A"/>
    <w:rsid w:val="00195041"/>
    <w:rsid w:val="001A286D"/>
    <w:rsid w:val="001A7BD3"/>
    <w:rsid w:val="001B6A09"/>
    <w:rsid w:val="001B7A6C"/>
    <w:rsid w:val="001C0496"/>
    <w:rsid w:val="001C1977"/>
    <w:rsid w:val="001C2D01"/>
    <w:rsid w:val="001C2F8F"/>
    <w:rsid w:val="001C344B"/>
    <w:rsid w:val="001C5783"/>
    <w:rsid w:val="001D1F7A"/>
    <w:rsid w:val="001D2F86"/>
    <w:rsid w:val="001D4543"/>
    <w:rsid w:val="001D4A36"/>
    <w:rsid w:val="001E4510"/>
    <w:rsid w:val="00203394"/>
    <w:rsid w:val="00211F93"/>
    <w:rsid w:val="00216003"/>
    <w:rsid w:val="00220AF0"/>
    <w:rsid w:val="002251B6"/>
    <w:rsid w:val="00225FC0"/>
    <w:rsid w:val="0023062F"/>
    <w:rsid w:val="0023103B"/>
    <w:rsid w:val="002338FD"/>
    <w:rsid w:val="002352AF"/>
    <w:rsid w:val="00236756"/>
    <w:rsid w:val="0024063D"/>
    <w:rsid w:val="00245735"/>
    <w:rsid w:val="00245A3D"/>
    <w:rsid w:val="00262B68"/>
    <w:rsid w:val="00264B8E"/>
    <w:rsid w:val="00277EB8"/>
    <w:rsid w:val="00283BB5"/>
    <w:rsid w:val="00292BA3"/>
    <w:rsid w:val="002960CB"/>
    <w:rsid w:val="002970D5"/>
    <w:rsid w:val="002A1FA9"/>
    <w:rsid w:val="002A2337"/>
    <w:rsid w:val="002B2890"/>
    <w:rsid w:val="002B4958"/>
    <w:rsid w:val="002B5A15"/>
    <w:rsid w:val="002C4201"/>
    <w:rsid w:val="002C73BA"/>
    <w:rsid w:val="002D12EF"/>
    <w:rsid w:val="002D2740"/>
    <w:rsid w:val="002D58A4"/>
    <w:rsid w:val="002E1AFF"/>
    <w:rsid w:val="002E4DFC"/>
    <w:rsid w:val="002E6E11"/>
    <w:rsid w:val="002F0B06"/>
    <w:rsid w:val="002F4FD4"/>
    <w:rsid w:val="00306C3B"/>
    <w:rsid w:val="00306D50"/>
    <w:rsid w:val="003143F6"/>
    <w:rsid w:val="00321349"/>
    <w:rsid w:val="00327397"/>
    <w:rsid w:val="00330DE6"/>
    <w:rsid w:val="0033507E"/>
    <w:rsid w:val="00342466"/>
    <w:rsid w:val="00347279"/>
    <w:rsid w:val="003479F3"/>
    <w:rsid w:val="00352C0B"/>
    <w:rsid w:val="00355362"/>
    <w:rsid w:val="00356F34"/>
    <w:rsid w:val="0036154F"/>
    <w:rsid w:val="00363463"/>
    <w:rsid w:val="003703E4"/>
    <w:rsid w:val="00372DFC"/>
    <w:rsid w:val="003761D7"/>
    <w:rsid w:val="00380747"/>
    <w:rsid w:val="00383F26"/>
    <w:rsid w:val="00384655"/>
    <w:rsid w:val="00390605"/>
    <w:rsid w:val="00391883"/>
    <w:rsid w:val="003A1D5B"/>
    <w:rsid w:val="003B0D59"/>
    <w:rsid w:val="003B14CC"/>
    <w:rsid w:val="003B3836"/>
    <w:rsid w:val="003B4876"/>
    <w:rsid w:val="003C37BB"/>
    <w:rsid w:val="003C48E5"/>
    <w:rsid w:val="003D20DF"/>
    <w:rsid w:val="003D2746"/>
    <w:rsid w:val="003D2D75"/>
    <w:rsid w:val="003D474E"/>
    <w:rsid w:val="003E2B82"/>
    <w:rsid w:val="003E3C3E"/>
    <w:rsid w:val="003E40A1"/>
    <w:rsid w:val="003E510D"/>
    <w:rsid w:val="003F1F04"/>
    <w:rsid w:val="003F5249"/>
    <w:rsid w:val="003F5D73"/>
    <w:rsid w:val="003F7169"/>
    <w:rsid w:val="003F7D44"/>
    <w:rsid w:val="00401290"/>
    <w:rsid w:val="00402CD9"/>
    <w:rsid w:val="004155B4"/>
    <w:rsid w:val="00423D78"/>
    <w:rsid w:val="00427AF0"/>
    <w:rsid w:val="00430063"/>
    <w:rsid w:val="00442A2C"/>
    <w:rsid w:val="00446118"/>
    <w:rsid w:val="00452794"/>
    <w:rsid w:val="00453615"/>
    <w:rsid w:val="004545BC"/>
    <w:rsid w:val="00463960"/>
    <w:rsid w:val="004647D9"/>
    <w:rsid w:val="0047279B"/>
    <w:rsid w:val="004740C9"/>
    <w:rsid w:val="00477455"/>
    <w:rsid w:val="0048052E"/>
    <w:rsid w:val="00485313"/>
    <w:rsid w:val="004856D1"/>
    <w:rsid w:val="004916AE"/>
    <w:rsid w:val="0049614A"/>
    <w:rsid w:val="004A02EC"/>
    <w:rsid w:val="004A600C"/>
    <w:rsid w:val="004A7091"/>
    <w:rsid w:val="004B0E74"/>
    <w:rsid w:val="004B0E94"/>
    <w:rsid w:val="004B1882"/>
    <w:rsid w:val="004B2520"/>
    <w:rsid w:val="004C3B60"/>
    <w:rsid w:val="004D2A23"/>
    <w:rsid w:val="004D3455"/>
    <w:rsid w:val="004D4174"/>
    <w:rsid w:val="004D6397"/>
    <w:rsid w:val="004D6800"/>
    <w:rsid w:val="004F08F4"/>
    <w:rsid w:val="004F3DE7"/>
    <w:rsid w:val="005043FF"/>
    <w:rsid w:val="00513365"/>
    <w:rsid w:val="005170A8"/>
    <w:rsid w:val="0052029F"/>
    <w:rsid w:val="00520F15"/>
    <w:rsid w:val="0052126C"/>
    <w:rsid w:val="00525CF9"/>
    <w:rsid w:val="00526859"/>
    <w:rsid w:val="00527A60"/>
    <w:rsid w:val="00533E7A"/>
    <w:rsid w:val="00534D09"/>
    <w:rsid w:val="005427DC"/>
    <w:rsid w:val="0054536F"/>
    <w:rsid w:val="0055139F"/>
    <w:rsid w:val="00554477"/>
    <w:rsid w:val="005578AE"/>
    <w:rsid w:val="00565977"/>
    <w:rsid w:val="00566B07"/>
    <w:rsid w:val="005700F7"/>
    <w:rsid w:val="005709F4"/>
    <w:rsid w:val="00571B34"/>
    <w:rsid w:val="00580DCE"/>
    <w:rsid w:val="005832FD"/>
    <w:rsid w:val="00587743"/>
    <w:rsid w:val="005914A4"/>
    <w:rsid w:val="0059152F"/>
    <w:rsid w:val="00593337"/>
    <w:rsid w:val="00595C5F"/>
    <w:rsid w:val="0059603A"/>
    <w:rsid w:val="00596D47"/>
    <w:rsid w:val="005A47FF"/>
    <w:rsid w:val="005C04D3"/>
    <w:rsid w:val="005D1327"/>
    <w:rsid w:val="005D2ECE"/>
    <w:rsid w:val="005D4942"/>
    <w:rsid w:val="005E47FC"/>
    <w:rsid w:val="006005E8"/>
    <w:rsid w:val="006022DB"/>
    <w:rsid w:val="006047FB"/>
    <w:rsid w:val="00613521"/>
    <w:rsid w:val="00616977"/>
    <w:rsid w:val="00617389"/>
    <w:rsid w:val="00617D0B"/>
    <w:rsid w:val="006200F1"/>
    <w:rsid w:val="00625413"/>
    <w:rsid w:val="006302B9"/>
    <w:rsid w:val="00630918"/>
    <w:rsid w:val="00632847"/>
    <w:rsid w:val="00632962"/>
    <w:rsid w:val="0063447B"/>
    <w:rsid w:val="006346A6"/>
    <w:rsid w:val="00640268"/>
    <w:rsid w:val="00642874"/>
    <w:rsid w:val="00654075"/>
    <w:rsid w:val="006546E5"/>
    <w:rsid w:val="00656FE6"/>
    <w:rsid w:val="00661A1D"/>
    <w:rsid w:val="00664E9B"/>
    <w:rsid w:val="006770DF"/>
    <w:rsid w:val="00681C18"/>
    <w:rsid w:val="00683506"/>
    <w:rsid w:val="00687C40"/>
    <w:rsid w:val="00691D5F"/>
    <w:rsid w:val="006978EE"/>
    <w:rsid w:val="006A2EF6"/>
    <w:rsid w:val="006A34A0"/>
    <w:rsid w:val="006A41E8"/>
    <w:rsid w:val="006A4AB1"/>
    <w:rsid w:val="006A68B2"/>
    <w:rsid w:val="006B2484"/>
    <w:rsid w:val="006D3BDB"/>
    <w:rsid w:val="006D5935"/>
    <w:rsid w:val="006E378A"/>
    <w:rsid w:val="006E4065"/>
    <w:rsid w:val="006E751C"/>
    <w:rsid w:val="00701C8E"/>
    <w:rsid w:val="00702DAF"/>
    <w:rsid w:val="00710EEB"/>
    <w:rsid w:val="00712579"/>
    <w:rsid w:val="00723C21"/>
    <w:rsid w:val="00726356"/>
    <w:rsid w:val="00731D98"/>
    <w:rsid w:val="0073594B"/>
    <w:rsid w:val="00741117"/>
    <w:rsid w:val="00741DBC"/>
    <w:rsid w:val="00742176"/>
    <w:rsid w:val="0075608E"/>
    <w:rsid w:val="007579B3"/>
    <w:rsid w:val="00761918"/>
    <w:rsid w:val="007653B2"/>
    <w:rsid w:val="00782238"/>
    <w:rsid w:val="007A0FFF"/>
    <w:rsid w:val="007A6392"/>
    <w:rsid w:val="007A74B8"/>
    <w:rsid w:val="007B413B"/>
    <w:rsid w:val="007B44B0"/>
    <w:rsid w:val="007B467A"/>
    <w:rsid w:val="007B512B"/>
    <w:rsid w:val="007B74B5"/>
    <w:rsid w:val="007C3B95"/>
    <w:rsid w:val="007C516C"/>
    <w:rsid w:val="007C6F60"/>
    <w:rsid w:val="007C7F0B"/>
    <w:rsid w:val="007D7058"/>
    <w:rsid w:val="007D727A"/>
    <w:rsid w:val="007E065E"/>
    <w:rsid w:val="007E0CE6"/>
    <w:rsid w:val="007F14E5"/>
    <w:rsid w:val="007F2A5C"/>
    <w:rsid w:val="007F58B4"/>
    <w:rsid w:val="008049A0"/>
    <w:rsid w:val="00804ABC"/>
    <w:rsid w:val="00805831"/>
    <w:rsid w:val="00805B3A"/>
    <w:rsid w:val="00807DBD"/>
    <w:rsid w:val="00807FB0"/>
    <w:rsid w:val="0081255F"/>
    <w:rsid w:val="0081535C"/>
    <w:rsid w:val="00815755"/>
    <w:rsid w:val="00817A30"/>
    <w:rsid w:val="00833787"/>
    <w:rsid w:val="008445A7"/>
    <w:rsid w:val="008644C9"/>
    <w:rsid w:val="00865B53"/>
    <w:rsid w:val="008705ED"/>
    <w:rsid w:val="008756D6"/>
    <w:rsid w:val="00880A87"/>
    <w:rsid w:val="00881D13"/>
    <w:rsid w:val="0088225E"/>
    <w:rsid w:val="00883970"/>
    <w:rsid w:val="00894A76"/>
    <w:rsid w:val="0089702D"/>
    <w:rsid w:val="008A2A03"/>
    <w:rsid w:val="008C1B6E"/>
    <w:rsid w:val="008C3E26"/>
    <w:rsid w:val="008C624D"/>
    <w:rsid w:val="008D6E93"/>
    <w:rsid w:val="008E3CA7"/>
    <w:rsid w:val="008E7877"/>
    <w:rsid w:val="008F1775"/>
    <w:rsid w:val="008F47EB"/>
    <w:rsid w:val="008F4A68"/>
    <w:rsid w:val="00900AAC"/>
    <w:rsid w:val="009014E4"/>
    <w:rsid w:val="009018D9"/>
    <w:rsid w:val="0090297F"/>
    <w:rsid w:val="00907CA0"/>
    <w:rsid w:val="009137C5"/>
    <w:rsid w:val="0091576C"/>
    <w:rsid w:val="00916EF6"/>
    <w:rsid w:val="00923F51"/>
    <w:rsid w:val="00927415"/>
    <w:rsid w:val="009315B3"/>
    <w:rsid w:val="00935C69"/>
    <w:rsid w:val="009378E9"/>
    <w:rsid w:val="0094050B"/>
    <w:rsid w:val="00941178"/>
    <w:rsid w:val="00942DA7"/>
    <w:rsid w:val="00951686"/>
    <w:rsid w:val="00955106"/>
    <w:rsid w:val="009551E2"/>
    <w:rsid w:val="009553F1"/>
    <w:rsid w:val="009604F6"/>
    <w:rsid w:val="00960B06"/>
    <w:rsid w:val="009611FD"/>
    <w:rsid w:val="00964380"/>
    <w:rsid w:val="00964C4C"/>
    <w:rsid w:val="00967740"/>
    <w:rsid w:val="00967B7C"/>
    <w:rsid w:val="0097238A"/>
    <w:rsid w:val="0097254B"/>
    <w:rsid w:val="00976570"/>
    <w:rsid w:val="00980271"/>
    <w:rsid w:val="00983753"/>
    <w:rsid w:val="00984F74"/>
    <w:rsid w:val="00986A04"/>
    <w:rsid w:val="009925CB"/>
    <w:rsid w:val="00993C45"/>
    <w:rsid w:val="00994191"/>
    <w:rsid w:val="00996FC5"/>
    <w:rsid w:val="009A77A6"/>
    <w:rsid w:val="009B5676"/>
    <w:rsid w:val="009C01AB"/>
    <w:rsid w:val="009C1584"/>
    <w:rsid w:val="009C5850"/>
    <w:rsid w:val="009C7A05"/>
    <w:rsid w:val="009D3C1B"/>
    <w:rsid w:val="009D42E9"/>
    <w:rsid w:val="009D4A71"/>
    <w:rsid w:val="009D50C7"/>
    <w:rsid w:val="009E2F58"/>
    <w:rsid w:val="009E5EC4"/>
    <w:rsid w:val="009F38DB"/>
    <w:rsid w:val="009F5B7A"/>
    <w:rsid w:val="00A02F44"/>
    <w:rsid w:val="00A10504"/>
    <w:rsid w:val="00A10BBF"/>
    <w:rsid w:val="00A12E00"/>
    <w:rsid w:val="00A1563C"/>
    <w:rsid w:val="00A2483F"/>
    <w:rsid w:val="00A2596E"/>
    <w:rsid w:val="00A359DD"/>
    <w:rsid w:val="00A367FA"/>
    <w:rsid w:val="00A4208D"/>
    <w:rsid w:val="00A43DD5"/>
    <w:rsid w:val="00A452FE"/>
    <w:rsid w:val="00A465B3"/>
    <w:rsid w:val="00A50678"/>
    <w:rsid w:val="00A60D3B"/>
    <w:rsid w:val="00A667E8"/>
    <w:rsid w:val="00A71E1F"/>
    <w:rsid w:val="00A73EA9"/>
    <w:rsid w:val="00A74640"/>
    <w:rsid w:val="00A76A27"/>
    <w:rsid w:val="00A81663"/>
    <w:rsid w:val="00A83674"/>
    <w:rsid w:val="00A85EE6"/>
    <w:rsid w:val="00A90720"/>
    <w:rsid w:val="00A9125C"/>
    <w:rsid w:val="00A912F7"/>
    <w:rsid w:val="00A92453"/>
    <w:rsid w:val="00A930A3"/>
    <w:rsid w:val="00A93CA9"/>
    <w:rsid w:val="00A93E50"/>
    <w:rsid w:val="00A95D6B"/>
    <w:rsid w:val="00AA441A"/>
    <w:rsid w:val="00AA5FD2"/>
    <w:rsid w:val="00AA672F"/>
    <w:rsid w:val="00AB49F4"/>
    <w:rsid w:val="00AC19B5"/>
    <w:rsid w:val="00AC339B"/>
    <w:rsid w:val="00AC6405"/>
    <w:rsid w:val="00AC7EB3"/>
    <w:rsid w:val="00AD2FEE"/>
    <w:rsid w:val="00AD5198"/>
    <w:rsid w:val="00AD5789"/>
    <w:rsid w:val="00AD78C0"/>
    <w:rsid w:val="00AF12E1"/>
    <w:rsid w:val="00AF387B"/>
    <w:rsid w:val="00AF3A98"/>
    <w:rsid w:val="00AF3AAB"/>
    <w:rsid w:val="00AF45C9"/>
    <w:rsid w:val="00B00CC3"/>
    <w:rsid w:val="00B05CF1"/>
    <w:rsid w:val="00B074AE"/>
    <w:rsid w:val="00B07A59"/>
    <w:rsid w:val="00B1050A"/>
    <w:rsid w:val="00B10816"/>
    <w:rsid w:val="00B13285"/>
    <w:rsid w:val="00B14D52"/>
    <w:rsid w:val="00B21314"/>
    <w:rsid w:val="00B22177"/>
    <w:rsid w:val="00B279BB"/>
    <w:rsid w:val="00B30395"/>
    <w:rsid w:val="00B35614"/>
    <w:rsid w:val="00B35B44"/>
    <w:rsid w:val="00B366D6"/>
    <w:rsid w:val="00B40959"/>
    <w:rsid w:val="00B5194D"/>
    <w:rsid w:val="00B600EE"/>
    <w:rsid w:val="00B639A9"/>
    <w:rsid w:val="00B65A8F"/>
    <w:rsid w:val="00B71DA6"/>
    <w:rsid w:val="00B727E4"/>
    <w:rsid w:val="00B74114"/>
    <w:rsid w:val="00B7499B"/>
    <w:rsid w:val="00B81499"/>
    <w:rsid w:val="00B82B2E"/>
    <w:rsid w:val="00B84E56"/>
    <w:rsid w:val="00B8567C"/>
    <w:rsid w:val="00B86625"/>
    <w:rsid w:val="00B87FE2"/>
    <w:rsid w:val="00B906CC"/>
    <w:rsid w:val="00B91797"/>
    <w:rsid w:val="00B932CE"/>
    <w:rsid w:val="00B932EC"/>
    <w:rsid w:val="00B934E2"/>
    <w:rsid w:val="00B96A94"/>
    <w:rsid w:val="00B96AA3"/>
    <w:rsid w:val="00BA3DC3"/>
    <w:rsid w:val="00BA6AD5"/>
    <w:rsid w:val="00BB21E5"/>
    <w:rsid w:val="00BB6469"/>
    <w:rsid w:val="00BC2326"/>
    <w:rsid w:val="00BC35F6"/>
    <w:rsid w:val="00BC7D21"/>
    <w:rsid w:val="00BE12B3"/>
    <w:rsid w:val="00BE4380"/>
    <w:rsid w:val="00BE63A0"/>
    <w:rsid w:val="00BE7AE9"/>
    <w:rsid w:val="00BF07EF"/>
    <w:rsid w:val="00BF3136"/>
    <w:rsid w:val="00BF3704"/>
    <w:rsid w:val="00BF4D03"/>
    <w:rsid w:val="00C04AF4"/>
    <w:rsid w:val="00C07923"/>
    <w:rsid w:val="00C1131C"/>
    <w:rsid w:val="00C123B6"/>
    <w:rsid w:val="00C13FAA"/>
    <w:rsid w:val="00C162AF"/>
    <w:rsid w:val="00C215FD"/>
    <w:rsid w:val="00C250B3"/>
    <w:rsid w:val="00C2661D"/>
    <w:rsid w:val="00C302E3"/>
    <w:rsid w:val="00C422F3"/>
    <w:rsid w:val="00C46073"/>
    <w:rsid w:val="00C46E86"/>
    <w:rsid w:val="00C47DC9"/>
    <w:rsid w:val="00C5010B"/>
    <w:rsid w:val="00C5073A"/>
    <w:rsid w:val="00C5120B"/>
    <w:rsid w:val="00C526C5"/>
    <w:rsid w:val="00C536B1"/>
    <w:rsid w:val="00C565CF"/>
    <w:rsid w:val="00C60974"/>
    <w:rsid w:val="00C65528"/>
    <w:rsid w:val="00C67C4B"/>
    <w:rsid w:val="00C719EA"/>
    <w:rsid w:val="00C7683B"/>
    <w:rsid w:val="00C77577"/>
    <w:rsid w:val="00C811B3"/>
    <w:rsid w:val="00C83309"/>
    <w:rsid w:val="00C8439D"/>
    <w:rsid w:val="00C8715A"/>
    <w:rsid w:val="00C919C6"/>
    <w:rsid w:val="00C933FF"/>
    <w:rsid w:val="00C95053"/>
    <w:rsid w:val="00C96F38"/>
    <w:rsid w:val="00CA0BBA"/>
    <w:rsid w:val="00CA11CA"/>
    <w:rsid w:val="00CA16F9"/>
    <w:rsid w:val="00CA21DF"/>
    <w:rsid w:val="00CA3826"/>
    <w:rsid w:val="00CB0472"/>
    <w:rsid w:val="00CB102E"/>
    <w:rsid w:val="00CB57FA"/>
    <w:rsid w:val="00CC0D9A"/>
    <w:rsid w:val="00CC2358"/>
    <w:rsid w:val="00CC255E"/>
    <w:rsid w:val="00CD053B"/>
    <w:rsid w:val="00CD0B4C"/>
    <w:rsid w:val="00CD4459"/>
    <w:rsid w:val="00CD74E7"/>
    <w:rsid w:val="00CE3501"/>
    <w:rsid w:val="00CE3547"/>
    <w:rsid w:val="00CE54FB"/>
    <w:rsid w:val="00CE755C"/>
    <w:rsid w:val="00CE7F26"/>
    <w:rsid w:val="00CF5CD1"/>
    <w:rsid w:val="00D01796"/>
    <w:rsid w:val="00D0366C"/>
    <w:rsid w:val="00D03727"/>
    <w:rsid w:val="00D104A8"/>
    <w:rsid w:val="00D105A4"/>
    <w:rsid w:val="00D112DD"/>
    <w:rsid w:val="00D11772"/>
    <w:rsid w:val="00D14C12"/>
    <w:rsid w:val="00D14FD1"/>
    <w:rsid w:val="00D230FE"/>
    <w:rsid w:val="00D23E4E"/>
    <w:rsid w:val="00D23FA7"/>
    <w:rsid w:val="00D24469"/>
    <w:rsid w:val="00D26108"/>
    <w:rsid w:val="00D27363"/>
    <w:rsid w:val="00D3046E"/>
    <w:rsid w:val="00D32024"/>
    <w:rsid w:val="00D32400"/>
    <w:rsid w:val="00D33C73"/>
    <w:rsid w:val="00D369E4"/>
    <w:rsid w:val="00D372E4"/>
    <w:rsid w:val="00D41C03"/>
    <w:rsid w:val="00D42C35"/>
    <w:rsid w:val="00D460AE"/>
    <w:rsid w:val="00D5341B"/>
    <w:rsid w:val="00D600B6"/>
    <w:rsid w:val="00D6372A"/>
    <w:rsid w:val="00D63DE8"/>
    <w:rsid w:val="00D736BC"/>
    <w:rsid w:val="00D77111"/>
    <w:rsid w:val="00D7743A"/>
    <w:rsid w:val="00D81C05"/>
    <w:rsid w:val="00D82D04"/>
    <w:rsid w:val="00D82DA8"/>
    <w:rsid w:val="00D86A98"/>
    <w:rsid w:val="00D934BE"/>
    <w:rsid w:val="00D94E06"/>
    <w:rsid w:val="00D957E0"/>
    <w:rsid w:val="00DA3689"/>
    <w:rsid w:val="00DE1B43"/>
    <w:rsid w:val="00DE67CC"/>
    <w:rsid w:val="00DF0144"/>
    <w:rsid w:val="00DF7302"/>
    <w:rsid w:val="00DF762A"/>
    <w:rsid w:val="00E026AF"/>
    <w:rsid w:val="00E04E16"/>
    <w:rsid w:val="00E13766"/>
    <w:rsid w:val="00E223CF"/>
    <w:rsid w:val="00E225EB"/>
    <w:rsid w:val="00E22C4A"/>
    <w:rsid w:val="00E2352B"/>
    <w:rsid w:val="00E267B3"/>
    <w:rsid w:val="00E330E0"/>
    <w:rsid w:val="00E44DF0"/>
    <w:rsid w:val="00E4625B"/>
    <w:rsid w:val="00E51370"/>
    <w:rsid w:val="00E53CAB"/>
    <w:rsid w:val="00E6709D"/>
    <w:rsid w:val="00E67EE9"/>
    <w:rsid w:val="00E702EE"/>
    <w:rsid w:val="00E75866"/>
    <w:rsid w:val="00E760EB"/>
    <w:rsid w:val="00E804E9"/>
    <w:rsid w:val="00E8128A"/>
    <w:rsid w:val="00E817D0"/>
    <w:rsid w:val="00E90C58"/>
    <w:rsid w:val="00E92264"/>
    <w:rsid w:val="00E9665F"/>
    <w:rsid w:val="00E97DC2"/>
    <w:rsid w:val="00EA1B8B"/>
    <w:rsid w:val="00EA3EE5"/>
    <w:rsid w:val="00EA57AD"/>
    <w:rsid w:val="00EB1E8E"/>
    <w:rsid w:val="00EB3D64"/>
    <w:rsid w:val="00EB4701"/>
    <w:rsid w:val="00EB5C5D"/>
    <w:rsid w:val="00EC02C7"/>
    <w:rsid w:val="00EC559D"/>
    <w:rsid w:val="00EC7DD1"/>
    <w:rsid w:val="00ED027E"/>
    <w:rsid w:val="00ED1CB0"/>
    <w:rsid w:val="00ED7AAE"/>
    <w:rsid w:val="00EE09E2"/>
    <w:rsid w:val="00EE1287"/>
    <w:rsid w:val="00EE52B6"/>
    <w:rsid w:val="00EE60D2"/>
    <w:rsid w:val="00EF018E"/>
    <w:rsid w:val="00F02341"/>
    <w:rsid w:val="00F03D23"/>
    <w:rsid w:val="00F072BC"/>
    <w:rsid w:val="00F11F8B"/>
    <w:rsid w:val="00F12B2A"/>
    <w:rsid w:val="00F12C6F"/>
    <w:rsid w:val="00F1441B"/>
    <w:rsid w:val="00F15309"/>
    <w:rsid w:val="00F17DCE"/>
    <w:rsid w:val="00F20A7A"/>
    <w:rsid w:val="00F21DED"/>
    <w:rsid w:val="00F31F80"/>
    <w:rsid w:val="00F3259F"/>
    <w:rsid w:val="00F327E2"/>
    <w:rsid w:val="00F35FCC"/>
    <w:rsid w:val="00F4088B"/>
    <w:rsid w:val="00F40FFD"/>
    <w:rsid w:val="00F5096B"/>
    <w:rsid w:val="00F6030E"/>
    <w:rsid w:val="00F605AD"/>
    <w:rsid w:val="00F72321"/>
    <w:rsid w:val="00F72900"/>
    <w:rsid w:val="00F75A19"/>
    <w:rsid w:val="00F8202C"/>
    <w:rsid w:val="00F84030"/>
    <w:rsid w:val="00F84437"/>
    <w:rsid w:val="00F964F9"/>
    <w:rsid w:val="00F97483"/>
    <w:rsid w:val="00FA0AC5"/>
    <w:rsid w:val="00FA1224"/>
    <w:rsid w:val="00FB00E5"/>
    <w:rsid w:val="00FB0541"/>
    <w:rsid w:val="00FB258E"/>
    <w:rsid w:val="00FB2AAB"/>
    <w:rsid w:val="00FD0423"/>
    <w:rsid w:val="00FD0D94"/>
    <w:rsid w:val="00FD7765"/>
    <w:rsid w:val="00FE3011"/>
    <w:rsid w:val="00FE3099"/>
    <w:rsid w:val="00FE3B0C"/>
    <w:rsid w:val="00FE6908"/>
    <w:rsid w:val="00FF1BBD"/>
    <w:rsid w:val="00FF57AC"/>
    <w:rsid w:val="00FF6926"/>
    <w:rsid w:val="00FF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FB7E"/>
  <w15:chartTrackingRefBased/>
  <w15:docId w15:val="{60402227-E5E0-4144-95CB-0B56F79A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ienhypertextesuivivisit">
    <w:name w:val="FollowedHyperlink"/>
    <w:rsid w:val="009A77A6"/>
    <w:rPr>
      <w:color w:val="954F72"/>
      <w:u w:val="single"/>
    </w:rPr>
  </w:style>
  <w:style w:type="character" w:styleId="Mentionnonrsolue">
    <w:name w:val="Unresolved Mention"/>
    <w:uiPriority w:val="99"/>
    <w:semiHidden/>
    <w:unhideWhenUsed/>
    <w:rsid w:val="00F21DED"/>
    <w:rPr>
      <w:color w:val="605E5C"/>
      <w:shd w:val="clear" w:color="auto" w:fill="E1DFDD"/>
    </w:rPr>
  </w:style>
  <w:style w:type="paragraph" w:styleId="Retraitcorpsdetexte">
    <w:name w:val="Body Text Indent"/>
    <w:basedOn w:val="Normal"/>
    <w:link w:val="RetraitcorpsdetexteCar"/>
    <w:uiPriority w:val="99"/>
    <w:unhideWhenUsed/>
    <w:rsid w:val="00B07A59"/>
    <w:pPr>
      <w:spacing w:after="120"/>
      <w:ind w:left="283"/>
    </w:pPr>
    <w:rPr>
      <w:sz w:val="24"/>
      <w:szCs w:val="24"/>
      <w:lang w:val="x-none" w:eastAsia="x-none"/>
    </w:rPr>
  </w:style>
  <w:style w:type="character" w:customStyle="1" w:styleId="RetraitcorpsdetexteCar">
    <w:name w:val="Retrait corps de texte Car"/>
    <w:basedOn w:val="Policepardfaut"/>
    <w:link w:val="Retraitcorpsdetexte"/>
    <w:uiPriority w:val="99"/>
    <w:rsid w:val="00B07A59"/>
    <w:rPr>
      <w:sz w:val="24"/>
      <w:szCs w:val="24"/>
      <w:lang w:val="x-none" w:eastAsia="x-none"/>
    </w:rPr>
  </w:style>
  <w:style w:type="paragraph" w:styleId="Retraitcorpsdetexte2">
    <w:name w:val="Body Text Indent 2"/>
    <w:basedOn w:val="Normal"/>
    <w:link w:val="Retraitcorpsdetexte2Car"/>
    <w:uiPriority w:val="99"/>
    <w:unhideWhenUsed/>
    <w:rsid w:val="00B07A59"/>
    <w:pPr>
      <w:spacing w:after="120" w:line="480" w:lineRule="auto"/>
      <w:ind w:left="283"/>
    </w:pPr>
    <w:rPr>
      <w:sz w:val="24"/>
      <w:szCs w:val="24"/>
      <w:lang w:val="x-none" w:eastAsia="x-none"/>
    </w:rPr>
  </w:style>
  <w:style w:type="character" w:customStyle="1" w:styleId="Retraitcorpsdetexte2Car">
    <w:name w:val="Retrait corps de texte 2 Car"/>
    <w:basedOn w:val="Policepardfaut"/>
    <w:link w:val="Retraitcorpsdetexte2"/>
    <w:uiPriority w:val="99"/>
    <w:rsid w:val="00B07A59"/>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5367">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1447848366">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2140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2.png"/><Relationship Id="rId5" Type="http://schemas.openxmlformats.org/officeDocument/2006/relationships/hyperlink" Target="mailto:fspf@fspf.fr" TargetMode="External"/><Relationship Id="rId4" Type="http://schemas.openxmlformats.org/officeDocument/2006/relationships/hyperlink" Target="mailto:fspf@fsp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0EA1-7974-4D5F-805E-6CFA1CB3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1227</Characters>
  <Application>Microsoft Office Word</Application>
  <DocSecurity>4</DocSecurity>
  <Lines>10</Lines>
  <Paragraphs>3</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1514</CharactersWithSpaces>
  <SharedDoc>false</SharedDoc>
  <HLinks>
    <vt:vector size="12" baseType="variant">
      <vt:variant>
        <vt:i4>5046380</vt:i4>
      </vt:variant>
      <vt:variant>
        <vt:i4>7</vt:i4>
      </vt:variant>
      <vt:variant>
        <vt:i4>0</vt:i4>
      </vt:variant>
      <vt:variant>
        <vt:i4>5</vt:i4>
      </vt:variant>
      <vt:variant>
        <vt:lpwstr>mailto:amungroo@fspf.fr</vt:lpwstr>
      </vt:variant>
      <vt:variant>
        <vt:lpwstr/>
      </vt:variant>
      <vt:variant>
        <vt:i4>5046380</vt:i4>
      </vt:variant>
      <vt:variant>
        <vt:i4>2</vt:i4>
      </vt:variant>
      <vt:variant>
        <vt:i4>0</vt:i4>
      </vt:variant>
      <vt:variant>
        <vt:i4>5</vt:i4>
      </vt:variant>
      <vt:variant>
        <vt:lpwstr>mailto:amungroo@fspf.fr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cp:lastModifiedBy>THIMOTEE Georges</cp:lastModifiedBy>
  <cp:revision>2</cp:revision>
  <cp:lastPrinted>2022-01-26T10:30:00Z</cp:lastPrinted>
  <dcterms:created xsi:type="dcterms:W3CDTF">2022-03-16T08:44:00Z</dcterms:created>
  <dcterms:modified xsi:type="dcterms:W3CDTF">2022-03-16T08:44:00Z</dcterms:modified>
</cp:coreProperties>
</file>